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2C3DF" w14:textId="77777777" w:rsidR="006F1AE5" w:rsidRPr="00F7319D" w:rsidRDefault="00F7319D">
      <w:pPr>
        <w:rPr>
          <w:b/>
        </w:rPr>
      </w:pPr>
      <w:r w:rsidRPr="00F7319D">
        <w:rPr>
          <w:b/>
        </w:rPr>
        <w:t>COMMUNITY GROUP COMMENTS ON GATWICK AI</w:t>
      </w:r>
      <w:r w:rsidR="00064AC0">
        <w:rPr>
          <w:b/>
        </w:rPr>
        <w:t>RPORT N</w:t>
      </w:r>
      <w:r w:rsidRPr="00F7319D">
        <w:rPr>
          <w:b/>
        </w:rPr>
        <w:t>O</w:t>
      </w:r>
      <w:r w:rsidR="00064AC0">
        <w:rPr>
          <w:b/>
        </w:rPr>
        <w:t>I</w:t>
      </w:r>
      <w:r w:rsidRPr="00F7319D">
        <w:rPr>
          <w:b/>
        </w:rPr>
        <w:t>SE ENVELOPE GROUP OUTPUT REPORT</w:t>
      </w:r>
    </w:p>
    <w:p w14:paraId="05B99DB8" w14:textId="77777777" w:rsidR="00064AC0" w:rsidRDefault="00064AC0"/>
    <w:p w14:paraId="20C4F513" w14:textId="61A3A843" w:rsidR="00DE79D1" w:rsidRDefault="00F7319D" w:rsidP="00F7319D">
      <w:pPr>
        <w:pStyle w:val="ListParagraph"/>
        <w:numPr>
          <w:ilvl w:val="0"/>
          <w:numId w:val="1"/>
        </w:numPr>
        <w:ind w:left="426" w:hanging="426"/>
      </w:pPr>
      <w:proofErr w:type="gramStart"/>
      <w:r>
        <w:t xml:space="preserve">The comments below </w:t>
      </w:r>
      <w:r w:rsidR="00064AC0">
        <w:t>are submitted jointly by the community groups that participated in Gatwick Airport Limited’s (GAL) noise envelope engagement process, other than CAGNE</w:t>
      </w:r>
      <w:proofErr w:type="gramEnd"/>
      <w:r w:rsidR="00064AC0">
        <w:t xml:space="preserve">.  </w:t>
      </w:r>
      <w:r w:rsidR="00370F42">
        <w:t xml:space="preserve"> A full list of </w:t>
      </w:r>
      <w:r w:rsidR="00497517">
        <w:t xml:space="preserve">those </w:t>
      </w:r>
      <w:r w:rsidR="00370F42">
        <w:t xml:space="preserve">groups is </w:t>
      </w:r>
      <w:r w:rsidR="00497517">
        <w:t>below</w:t>
      </w:r>
      <w:r w:rsidR="00370F42">
        <w:t>.</w:t>
      </w:r>
    </w:p>
    <w:p w14:paraId="2D704F84" w14:textId="77777777" w:rsidR="00DE79D1" w:rsidRDefault="00DE79D1" w:rsidP="00DE79D1">
      <w:pPr>
        <w:pStyle w:val="ListParagraph"/>
        <w:ind w:left="426"/>
      </w:pPr>
    </w:p>
    <w:p w14:paraId="3CE44820" w14:textId="5872C20E" w:rsidR="00F7319D" w:rsidRDefault="008160BA" w:rsidP="00F7319D">
      <w:pPr>
        <w:pStyle w:val="ListParagraph"/>
        <w:numPr>
          <w:ilvl w:val="0"/>
          <w:numId w:val="1"/>
        </w:numPr>
        <w:ind w:left="426" w:hanging="426"/>
      </w:pPr>
      <w:r>
        <w:t>Individual groups may wish to submit supplementary comments i</w:t>
      </w:r>
      <w:r w:rsidR="00064AC0">
        <w:t>n ad</w:t>
      </w:r>
      <w:r>
        <w:t xml:space="preserve">dition to these joint comments.  </w:t>
      </w:r>
    </w:p>
    <w:p w14:paraId="1CAFDAE1" w14:textId="77777777" w:rsidR="00064AC0" w:rsidRDefault="00064AC0" w:rsidP="00064AC0">
      <w:pPr>
        <w:pStyle w:val="ListParagraph"/>
        <w:ind w:left="426"/>
      </w:pPr>
    </w:p>
    <w:p w14:paraId="458B81FB" w14:textId="4DE3CAC3" w:rsidR="008160BA" w:rsidRDefault="00064AC0" w:rsidP="00F7319D">
      <w:pPr>
        <w:pStyle w:val="ListParagraph"/>
        <w:numPr>
          <w:ilvl w:val="0"/>
          <w:numId w:val="1"/>
        </w:numPr>
        <w:ind w:left="426" w:hanging="426"/>
      </w:pPr>
      <w:r>
        <w:t>Submission of these comments should not be taken as endorsement of</w:t>
      </w:r>
      <w:r w:rsidR="008160BA">
        <w:t>,</w:t>
      </w:r>
      <w:r>
        <w:t xml:space="preserve"> </w:t>
      </w:r>
      <w:r w:rsidR="008160BA">
        <w:t xml:space="preserve">or agreement with, </w:t>
      </w:r>
      <w:r>
        <w:t xml:space="preserve">the noise envelope engagement process </w:t>
      </w:r>
      <w:r w:rsidR="008160BA">
        <w:t xml:space="preserve">undertaken </w:t>
      </w:r>
      <w:r>
        <w:t xml:space="preserve">by GAL or of its output report. </w:t>
      </w:r>
    </w:p>
    <w:p w14:paraId="50D5473B" w14:textId="77777777" w:rsidR="008160BA" w:rsidRDefault="008160BA" w:rsidP="008160BA"/>
    <w:p w14:paraId="216CA8C1" w14:textId="30D77D28" w:rsidR="00064AC0" w:rsidRPr="008975D2" w:rsidRDefault="00064AC0" w:rsidP="00F7319D">
      <w:pPr>
        <w:pStyle w:val="ListParagraph"/>
        <w:numPr>
          <w:ilvl w:val="0"/>
          <w:numId w:val="1"/>
        </w:numPr>
        <w:ind w:left="426" w:hanging="426"/>
      </w:pPr>
      <w:r>
        <w:t>In our view GAL’s engagement was defective in numerous material respect</w:t>
      </w:r>
      <w:r w:rsidR="00214FC4">
        <w:t>s.  A</w:t>
      </w:r>
      <w:r w:rsidR="00293F83">
        <w:t xml:space="preserve">s a result, </w:t>
      </w:r>
      <w:r w:rsidR="00214FC4">
        <w:t xml:space="preserve">it </w:t>
      </w:r>
      <w:r w:rsidR="00293F83">
        <w:t xml:space="preserve">did not comply with </w:t>
      </w:r>
      <w:r w:rsidR="00292194">
        <w:t xml:space="preserve">the CAA’s advice on noise envelope engagement </w:t>
      </w:r>
      <w:r w:rsidR="00293F83">
        <w:t>or</w:t>
      </w:r>
      <w:r w:rsidR="00292194">
        <w:t xml:space="preserve"> the Government’s requirements as set out in the Airports National Policy Statement</w:t>
      </w:r>
      <w:r w:rsidR="008160BA">
        <w:t xml:space="preserve"> (ANPS)</w:t>
      </w:r>
      <w:r w:rsidR="005D4E97">
        <w:t>.  Nor did it comprise “</w:t>
      </w:r>
      <w:r w:rsidR="005D4E97" w:rsidRPr="00DE79D1">
        <w:rPr>
          <w:i/>
          <w:lang w:val="en-GB"/>
        </w:rPr>
        <w:t>another appropriate method</w:t>
      </w:r>
      <w:r w:rsidR="005D4E97" w:rsidRPr="00293F83">
        <w:rPr>
          <w:lang w:val="en-GB"/>
        </w:rPr>
        <w:t xml:space="preserve">" </w:t>
      </w:r>
      <w:r w:rsidR="005D4E97">
        <w:t xml:space="preserve">of engagement as advised by the Planning Inspectorate in cases where the CAA’s guidance is not followed.  </w:t>
      </w:r>
      <w:r w:rsidR="00293F83">
        <w:t xml:space="preserve">The engagement GAL has carried out </w:t>
      </w:r>
      <w:r w:rsidR="00DE79D1">
        <w:t xml:space="preserve">therefore </w:t>
      </w:r>
      <w:r w:rsidR="00293F83">
        <w:t xml:space="preserve">does not, in our view, provide </w:t>
      </w:r>
      <w:r w:rsidR="00214FC4">
        <w:t xml:space="preserve">a sound basis for noise envelope </w:t>
      </w:r>
      <w:proofErr w:type="gramStart"/>
      <w:r w:rsidR="00214FC4">
        <w:t>proposals</w:t>
      </w:r>
      <w:proofErr w:type="gramEnd"/>
      <w:r w:rsidR="008160BA">
        <w:t xml:space="preserve"> and GAL’s proposals cannot be considered to have been “</w:t>
      </w:r>
      <w:r w:rsidR="008160BA" w:rsidRPr="00977A57">
        <w:rPr>
          <w:i/>
          <w:iCs/>
        </w:rPr>
        <w:t>defined in consultation with local communities</w:t>
      </w:r>
      <w:r w:rsidR="008160BA">
        <w:rPr>
          <w:iCs/>
        </w:rPr>
        <w:t>” as required by the ANPS</w:t>
      </w:r>
      <w:r w:rsidR="008975D2">
        <w:rPr>
          <w:iCs/>
        </w:rPr>
        <w:t xml:space="preserve">. </w:t>
      </w:r>
    </w:p>
    <w:p w14:paraId="55E93275" w14:textId="77777777" w:rsidR="008975D2" w:rsidRDefault="008975D2" w:rsidP="008975D2"/>
    <w:p w14:paraId="3A5D8581" w14:textId="48313489" w:rsidR="008975D2" w:rsidRPr="008975D2" w:rsidRDefault="008975D2" w:rsidP="008975D2">
      <w:pPr>
        <w:pStyle w:val="ListParagraph"/>
        <w:numPr>
          <w:ilvl w:val="0"/>
          <w:numId w:val="1"/>
        </w:numPr>
        <w:ind w:left="426" w:hanging="426"/>
        <w:rPr>
          <w:lang w:val="en-GB"/>
        </w:rPr>
      </w:pPr>
      <w:r w:rsidRPr="008975D2">
        <w:rPr>
          <w:bCs/>
          <w:lang w:val="en-GB"/>
        </w:rPr>
        <w:t>Whilst recognising that CAP1129 provides only guidance on the Noise Envelope engagement process, the CAA does make clear that, “</w:t>
      </w:r>
      <w:r w:rsidRPr="008975D2">
        <w:rPr>
          <w:bCs/>
          <w:i/>
          <w:lang w:val="en-GB"/>
        </w:rPr>
        <w:t>for an envelope to function as intended, it is essential that full agreement is achieved between all stakeholders on the envelope’s criteria, limit values and means of implementation and enforcement.</w:t>
      </w:r>
      <w:r w:rsidRPr="008975D2">
        <w:rPr>
          <w:bCs/>
          <w:lang w:val="en-GB"/>
        </w:rPr>
        <w:t>” In our view, GAL has shown little appetite to carry out this engagement process in a manner capable of delivering such agreement. Instead, GAL has conducted a process that, on the key issues, has failed to provide the time necessary to facilitate the collaborative discussions required to achieve broad stakeholder consensus. We are therefore of the view that GAL’s engagement process has been fundamentally flawed.    </w:t>
      </w:r>
    </w:p>
    <w:p w14:paraId="6092C4BC" w14:textId="77777777" w:rsidR="00F7319D" w:rsidRDefault="00F7319D" w:rsidP="00F7319D"/>
    <w:p w14:paraId="1D17291A" w14:textId="77777777" w:rsidR="00D7023D" w:rsidRDefault="00D7023D" w:rsidP="00497517">
      <w:pPr>
        <w:rPr>
          <w:b/>
        </w:rPr>
      </w:pPr>
    </w:p>
    <w:p w14:paraId="5E9EE4C0" w14:textId="77777777" w:rsidR="00497517" w:rsidRPr="00D7023D" w:rsidRDefault="00497517" w:rsidP="00497517">
      <w:pPr>
        <w:rPr>
          <w:b/>
        </w:rPr>
      </w:pPr>
      <w:r w:rsidRPr="00D7023D">
        <w:rPr>
          <w:b/>
        </w:rPr>
        <w:t>APCAG</w:t>
      </w:r>
    </w:p>
    <w:p w14:paraId="10BA7E62" w14:textId="77777777" w:rsidR="00497517" w:rsidRPr="00D7023D" w:rsidRDefault="00497517" w:rsidP="00497517">
      <w:pPr>
        <w:rPr>
          <w:b/>
        </w:rPr>
      </w:pPr>
      <w:r w:rsidRPr="00D7023D">
        <w:rPr>
          <w:b/>
        </w:rPr>
        <w:t>GACC</w:t>
      </w:r>
    </w:p>
    <w:p w14:paraId="5D8F26E7" w14:textId="77777777" w:rsidR="00497517" w:rsidRDefault="00497517" w:rsidP="00497517">
      <w:pPr>
        <w:rPr>
          <w:b/>
        </w:rPr>
      </w:pPr>
      <w:r w:rsidRPr="00D7023D">
        <w:rPr>
          <w:b/>
        </w:rPr>
        <w:t xml:space="preserve">Gatwick Obviously Not </w:t>
      </w:r>
    </w:p>
    <w:p w14:paraId="51679B86" w14:textId="65814759" w:rsidR="00EA2898" w:rsidRPr="00D7023D" w:rsidRDefault="00EA2898" w:rsidP="00497517">
      <w:pPr>
        <w:rPr>
          <w:b/>
        </w:rPr>
      </w:pPr>
      <w:r>
        <w:rPr>
          <w:b/>
        </w:rPr>
        <w:t>High Weald Councils Aviation Action Group</w:t>
      </w:r>
    </w:p>
    <w:p w14:paraId="57D459B0" w14:textId="77777777" w:rsidR="00497517" w:rsidRPr="00D7023D" w:rsidRDefault="00497517" w:rsidP="00497517">
      <w:pPr>
        <w:rPr>
          <w:b/>
        </w:rPr>
      </w:pPr>
      <w:r w:rsidRPr="00D7023D">
        <w:rPr>
          <w:b/>
        </w:rPr>
        <w:t>PAGNE</w:t>
      </w:r>
    </w:p>
    <w:p w14:paraId="088192C0" w14:textId="77777777" w:rsidR="00497517" w:rsidRPr="00D7023D" w:rsidRDefault="00497517" w:rsidP="00497517">
      <w:pPr>
        <w:rPr>
          <w:b/>
        </w:rPr>
      </w:pPr>
      <w:r w:rsidRPr="00D7023D">
        <w:rPr>
          <w:b/>
        </w:rPr>
        <w:t>Plane Justice</w:t>
      </w:r>
    </w:p>
    <w:p w14:paraId="6DE7931C" w14:textId="77777777" w:rsidR="00497517" w:rsidRPr="00D7023D" w:rsidRDefault="00497517" w:rsidP="00497517">
      <w:pPr>
        <w:rPr>
          <w:b/>
        </w:rPr>
      </w:pPr>
      <w:r w:rsidRPr="00D7023D">
        <w:rPr>
          <w:b/>
        </w:rPr>
        <w:t>Plane Wrong</w:t>
      </w:r>
    </w:p>
    <w:p w14:paraId="68037E53" w14:textId="77777777" w:rsidR="00497517" w:rsidRPr="00D7023D" w:rsidRDefault="00497517" w:rsidP="00497517">
      <w:pPr>
        <w:rPr>
          <w:b/>
        </w:rPr>
      </w:pPr>
      <w:r w:rsidRPr="00D7023D">
        <w:rPr>
          <w:b/>
        </w:rPr>
        <w:t>TWANSG</w:t>
      </w:r>
    </w:p>
    <w:p w14:paraId="37CA4DB1" w14:textId="77777777" w:rsidR="008975D2" w:rsidRDefault="008975D2">
      <w:pPr>
        <w:rPr>
          <w:b/>
          <w:u w:val="single"/>
        </w:rPr>
      </w:pPr>
      <w:r>
        <w:rPr>
          <w:b/>
          <w:u w:val="single"/>
        </w:rPr>
        <w:br w:type="page"/>
      </w:r>
    </w:p>
    <w:p w14:paraId="64EB067C" w14:textId="22B93F9E" w:rsidR="005D4E97" w:rsidRPr="005D4E97" w:rsidRDefault="005D4E97" w:rsidP="00F7319D">
      <w:pPr>
        <w:rPr>
          <w:b/>
          <w:u w:val="single"/>
        </w:rPr>
      </w:pPr>
      <w:r w:rsidRPr="005D4E97">
        <w:rPr>
          <w:b/>
          <w:u w:val="single"/>
        </w:rPr>
        <w:lastRenderedPageBreak/>
        <w:t>Output report comments</w:t>
      </w:r>
    </w:p>
    <w:p w14:paraId="2764A3A2" w14:textId="77777777" w:rsidR="005D4E97" w:rsidRDefault="005D4E97" w:rsidP="00F7319D"/>
    <w:p w14:paraId="79924B37" w14:textId="73A52727" w:rsidR="00F7319D" w:rsidRDefault="005D4E97" w:rsidP="00F7319D">
      <w:pPr>
        <w:pStyle w:val="ListParagraph"/>
        <w:numPr>
          <w:ilvl w:val="0"/>
          <w:numId w:val="1"/>
        </w:numPr>
        <w:ind w:left="426" w:hanging="426"/>
      </w:pPr>
      <w:r>
        <w:t xml:space="preserve">The comments below refer to </w:t>
      </w:r>
      <w:r w:rsidR="008160BA">
        <w:t>GAL’s</w:t>
      </w:r>
      <w:r>
        <w:t xml:space="preserve"> Noise Envelope Group Output Report dated 13 September 2022. </w:t>
      </w:r>
    </w:p>
    <w:p w14:paraId="22238185" w14:textId="77777777" w:rsidR="005D4E97" w:rsidRDefault="005D4E97" w:rsidP="005D4E97">
      <w:pPr>
        <w:pStyle w:val="ListParagraph"/>
        <w:ind w:left="426"/>
      </w:pPr>
    </w:p>
    <w:tbl>
      <w:tblPr>
        <w:tblStyle w:val="TableGrid"/>
        <w:tblW w:w="8187" w:type="dxa"/>
        <w:tblInd w:w="426" w:type="dxa"/>
        <w:tblLook w:val="04A0" w:firstRow="1" w:lastRow="0" w:firstColumn="1" w:lastColumn="0" w:noHBand="0" w:noVBand="1"/>
      </w:tblPr>
      <w:tblGrid>
        <w:gridCol w:w="444"/>
        <w:gridCol w:w="1728"/>
        <w:gridCol w:w="6015"/>
      </w:tblGrid>
      <w:tr w:rsidR="005D4E97" w:rsidRPr="005D4E97" w14:paraId="77AFBAE8" w14:textId="77777777" w:rsidTr="00C5059F">
        <w:tc>
          <w:tcPr>
            <w:tcW w:w="400" w:type="dxa"/>
          </w:tcPr>
          <w:p w14:paraId="56FB5B87" w14:textId="77777777" w:rsidR="005D4E97" w:rsidRPr="005D4E97" w:rsidRDefault="005D4E97" w:rsidP="005D4E97">
            <w:pPr>
              <w:pStyle w:val="ListParagraph"/>
              <w:ind w:left="0"/>
              <w:rPr>
                <w:b/>
                <w:sz w:val="22"/>
                <w:szCs w:val="22"/>
              </w:rPr>
            </w:pPr>
          </w:p>
        </w:tc>
        <w:tc>
          <w:tcPr>
            <w:tcW w:w="1733" w:type="dxa"/>
          </w:tcPr>
          <w:p w14:paraId="0B741DA7" w14:textId="77777777" w:rsidR="005D4E97" w:rsidRDefault="005D4E97" w:rsidP="005D4E97">
            <w:pPr>
              <w:pStyle w:val="ListParagraph"/>
              <w:ind w:left="0"/>
              <w:rPr>
                <w:b/>
                <w:sz w:val="22"/>
                <w:szCs w:val="22"/>
              </w:rPr>
            </w:pPr>
            <w:r w:rsidRPr="005D4E97">
              <w:rPr>
                <w:b/>
                <w:sz w:val="22"/>
                <w:szCs w:val="22"/>
              </w:rPr>
              <w:t>Reference</w:t>
            </w:r>
          </w:p>
          <w:p w14:paraId="03F31BF2" w14:textId="4BE8FA65" w:rsidR="006E090E" w:rsidRPr="005D4E97" w:rsidRDefault="006E090E" w:rsidP="005D4E97">
            <w:pPr>
              <w:pStyle w:val="ListParagraph"/>
              <w:ind w:left="0"/>
              <w:rPr>
                <w:b/>
                <w:sz w:val="22"/>
                <w:szCs w:val="22"/>
              </w:rPr>
            </w:pPr>
          </w:p>
        </w:tc>
        <w:tc>
          <w:tcPr>
            <w:tcW w:w="6054" w:type="dxa"/>
          </w:tcPr>
          <w:p w14:paraId="2083B47C" w14:textId="28B16C3E" w:rsidR="005D4E97" w:rsidRPr="005D4E97" w:rsidRDefault="005D4E97" w:rsidP="005D4E97">
            <w:pPr>
              <w:pStyle w:val="ListParagraph"/>
              <w:ind w:left="0"/>
              <w:rPr>
                <w:b/>
                <w:sz w:val="22"/>
                <w:szCs w:val="22"/>
              </w:rPr>
            </w:pPr>
            <w:r w:rsidRPr="005D4E97">
              <w:rPr>
                <w:b/>
                <w:sz w:val="22"/>
                <w:szCs w:val="22"/>
              </w:rPr>
              <w:t>Comment</w:t>
            </w:r>
            <w:r w:rsidR="008F206E">
              <w:rPr>
                <w:b/>
                <w:sz w:val="22"/>
                <w:szCs w:val="22"/>
              </w:rPr>
              <w:t>s</w:t>
            </w:r>
          </w:p>
        </w:tc>
      </w:tr>
      <w:tr w:rsidR="005D4E97" w:rsidRPr="005D4E97" w14:paraId="3E186CBA" w14:textId="77777777" w:rsidTr="00C5059F">
        <w:tc>
          <w:tcPr>
            <w:tcW w:w="400" w:type="dxa"/>
          </w:tcPr>
          <w:p w14:paraId="2BA24986" w14:textId="08A0F351" w:rsidR="005D4E97" w:rsidRPr="005D4E97" w:rsidRDefault="005D4E97" w:rsidP="005D4E97">
            <w:pPr>
              <w:pStyle w:val="ListParagraph"/>
              <w:ind w:left="0"/>
              <w:rPr>
                <w:sz w:val="22"/>
                <w:szCs w:val="22"/>
              </w:rPr>
            </w:pPr>
            <w:proofErr w:type="gramStart"/>
            <w:r>
              <w:rPr>
                <w:sz w:val="22"/>
                <w:szCs w:val="22"/>
              </w:rPr>
              <w:t>a</w:t>
            </w:r>
            <w:proofErr w:type="gramEnd"/>
          </w:p>
        </w:tc>
        <w:tc>
          <w:tcPr>
            <w:tcW w:w="1733" w:type="dxa"/>
          </w:tcPr>
          <w:p w14:paraId="0BEB5B3F" w14:textId="067981E2" w:rsidR="005D4E97" w:rsidRPr="005D4E97" w:rsidRDefault="005D4E97" w:rsidP="005D4E97">
            <w:pPr>
              <w:pStyle w:val="ListParagraph"/>
              <w:ind w:left="0"/>
              <w:rPr>
                <w:sz w:val="22"/>
                <w:szCs w:val="22"/>
              </w:rPr>
            </w:pPr>
            <w:r>
              <w:rPr>
                <w:sz w:val="22"/>
                <w:szCs w:val="22"/>
              </w:rPr>
              <w:t xml:space="preserve">Slide 2 </w:t>
            </w:r>
            <w:proofErr w:type="spellStart"/>
            <w:r>
              <w:rPr>
                <w:sz w:val="22"/>
                <w:szCs w:val="22"/>
              </w:rPr>
              <w:t>para</w:t>
            </w:r>
            <w:proofErr w:type="spellEnd"/>
            <w:r w:rsidR="00C5059F">
              <w:rPr>
                <w:sz w:val="22"/>
                <w:szCs w:val="22"/>
              </w:rPr>
              <w:t xml:space="preserve"> 1</w:t>
            </w:r>
          </w:p>
        </w:tc>
        <w:tc>
          <w:tcPr>
            <w:tcW w:w="6054" w:type="dxa"/>
          </w:tcPr>
          <w:p w14:paraId="17F693BE" w14:textId="4DB60BD7" w:rsidR="006E090E" w:rsidRDefault="006E090E" w:rsidP="006E090E">
            <w:pPr>
              <w:rPr>
                <w:sz w:val="22"/>
                <w:szCs w:val="22"/>
              </w:rPr>
            </w:pPr>
            <w:r w:rsidRPr="006E090E">
              <w:rPr>
                <w:sz w:val="22"/>
                <w:szCs w:val="22"/>
              </w:rPr>
              <w:t>In our view the report does not “</w:t>
            </w:r>
            <w:r w:rsidRPr="006E090E">
              <w:rPr>
                <w:i/>
                <w:sz w:val="22"/>
                <w:szCs w:val="22"/>
              </w:rPr>
              <w:t xml:space="preserve">set out alternative approaches to, and additional detail for, the outline Noise Envelope proposal that was included in the Northern Runway Project Preliminary Environmental Information Report (PEIR)”.  </w:t>
            </w:r>
          </w:p>
          <w:p w14:paraId="5BF10A33" w14:textId="77777777" w:rsidR="006E090E" w:rsidRDefault="006E090E" w:rsidP="006E090E">
            <w:pPr>
              <w:rPr>
                <w:sz w:val="22"/>
                <w:szCs w:val="22"/>
              </w:rPr>
            </w:pPr>
          </w:p>
          <w:p w14:paraId="4921313A" w14:textId="2E92C0B4" w:rsidR="006E090E" w:rsidRPr="006E090E" w:rsidRDefault="00006AD0" w:rsidP="006E090E">
            <w:pPr>
              <w:rPr>
                <w:sz w:val="22"/>
                <w:szCs w:val="22"/>
              </w:rPr>
            </w:pPr>
            <w:r>
              <w:rPr>
                <w:sz w:val="22"/>
                <w:szCs w:val="22"/>
              </w:rPr>
              <w:t xml:space="preserve">Although the report documents </w:t>
            </w:r>
            <w:r w:rsidR="006E090E">
              <w:rPr>
                <w:sz w:val="22"/>
                <w:szCs w:val="22"/>
              </w:rPr>
              <w:t xml:space="preserve">alternative approaches </w:t>
            </w:r>
            <w:r>
              <w:rPr>
                <w:sz w:val="22"/>
                <w:szCs w:val="22"/>
              </w:rPr>
              <w:t>and</w:t>
            </w:r>
            <w:r w:rsidR="008F206E">
              <w:rPr>
                <w:sz w:val="22"/>
                <w:szCs w:val="22"/>
              </w:rPr>
              <w:t xml:space="preserve"> additional details </w:t>
            </w:r>
            <w:r>
              <w:rPr>
                <w:sz w:val="22"/>
                <w:szCs w:val="22"/>
              </w:rPr>
              <w:t xml:space="preserve">proposed by </w:t>
            </w:r>
            <w:r w:rsidR="00C5059F">
              <w:rPr>
                <w:sz w:val="22"/>
                <w:szCs w:val="22"/>
              </w:rPr>
              <w:t>community groups and Councils</w:t>
            </w:r>
            <w:r>
              <w:rPr>
                <w:sz w:val="22"/>
                <w:szCs w:val="22"/>
              </w:rPr>
              <w:t xml:space="preserve">, there is little indication of which, if any, of these GAL will adopt, and it has not put forward </w:t>
            </w:r>
            <w:r w:rsidR="00351AF2">
              <w:rPr>
                <w:sz w:val="22"/>
                <w:szCs w:val="22"/>
              </w:rPr>
              <w:t xml:space="preserve">comprehensive </w:t>
            </w:r>
            <w:r>
              <w:rPr>
                <w:sz w:val="22"/>
                <w:szCs w:val="22"/>
              </w:rPr>
              <w:t xml:space="preserve">new noise envelope proposals.  </w:t>
            </w:r>
            <w:r w:rsidR="00C5059F">
              <w:rPr>
                <w:sz w:val="22"/>
                <w:szCs w:val="22"/>
              </w:rPr>
              <w:t>None of the additional approaches to, or alternative details for, the noise envelope that are contained in the report change GAL’s outline proposals in a meaningful w</w:t>
            </w:r>
            <w:r>
              <w:rPr>
                <w:sz w:val="22"/>
                <w:szCs w:val="22"/>
              </w:rPr>
              <w:t xml:space="preserve">ay.  </w:t>
            </w:r>
            <w:r w:rsidR="0056544B">
              <w:rPr>
                <w:sz w:val="22"/>
                <w:szCs w:val="22"/>
              </w:rPr>
              <w:t xml:space="preserve">This comment should be removed. </w:t>
            </w:r>
          </w:p>
          <w:p w14:paraId="5F1830E3" w14:textId="2CCBB9B9" w:rsidR="005D4E97" w:rsidRPr="005D4E97" w:rsidRDefault="006E090E" w:rsidP="005D4E97">
            <w:pPr>
              <w:pStyle w:val="ListParagraph"/>
              <w:ind w:left="0"/>
              <w:rPr>
                <w:sz w:val="22"/>
                <w:szCs w:val="22"/>
              </w:rPr>
            </w:pPr>
            <w:r>
              <w:rPr>
                <w:sz w:val="22"/>
                <w:szCs w:val="22"/>
              </w:rPr>
              <w:t xml:space="preserve"> </w:t>
            </w:r>
          </w:p>
        </w:tc>
      </w:tr>
      <w:tr w:rsidR="005D4E97" w:rsidRPr="005D4E97" w14:paraId="5D832E30" w14:textId="77777777" w:rsidTr="00C5059F">
        <w:tc>
          <w:tcPr>
            <w:tcW w:w="400" w:type="dxa"/>
          </w:tcPr>
          <w:p w14:paraId="4A0FE380" w14:textId="088E6A63" w:rsidR="005D4E97" w:rsidRPr="005D4E97" w:rsidRDefault="005D4E97" w:rsidP="005D4E97">
            <w:pPr>
              <w:pStyle w:val="ListParagraph"/>
              <w:ind w:left="0"/>
              <w:rPr>
                <w:sz w:val="22"/>
                <w:szCs w:val="22"/>
              </w:rPr>
            </w:pPr>
            <w:proofErr w:type="gramStart"/>
            <w:r>
              <w:rPr>
                <w:sz w:val="22"/>
                <w:szCs w:val="22"/>
              </w:rPr>
              <w:t>b</w:t>
            </w:r>
            <w:proofErr w:type="gramEnd"/>
          </w:p>
        </w:tc>
        <w:tc>
          <w:tcPr>
            <w:tcW w:w="1733" w:type="dxa"/>
          </w:tcPr>
          <w:p w14:paraId="5E978DB9" w14:textId="61B678F2" w:rsidR="005D4E97" w:rsidRPr="005D4E97" w:rsidRDefault="008F206E" w:rsidP="005D4E97">
            <w:pPr>
              <w:pStyle w:val="ListParagraph"/>
              <w:ind w:left="0"/>
              <w:rPr>
                <w:sz w:val="22"/>
                <w:szCs w:val="22"/>
              </w:rPr>
            </w:pPr>
            <w:r>
              <w:rPr>
                <w:sz w:val="22"/>
                <w:szCs w:val="22"/>
              </w:rPr>
              <w:t>-</w:t>
            </w:r>
          </w:p>
        </w:tc>
        <w:tc>
          <w:tcPr>
            <w:tcW w:w="6054" w:type="dxa"/>
          </w:tcPr>
          <w:p w14:paraId="5F0EF26E" w14:textId="18BBB398" w:rsidR="008975D2" w:rsidRDefault="008F206E" w:rsidP="008975D2">
            <w:pPr>
              <w:rPr>
                <w:sz w:val="22"/>
                <w:szCs w:val="22"/>
                <w:lang w:val="en-GB"/>
              </w:rPr>
            </w:pPr>
            <w:r w:rsidRPr="008975D2">
              <w:rPr>
                <w:sz w:val="22"/>
                <w:szCs w:val="22"/>
              </w:rPr>
              <w:t xml:space="preserve">In order to provide context and understanding for readers the report </w:t>
            </w:r>
            <w:r w:rsidR="00F54A30" w:rsidRPr="008975D2">
              <w:rPr>
                <w:sz w:val="22"/>
                <w:szCs w:val="22"/>
              </w:rPr>
              <w:t>should set out prominently the reservations expressed repeatedly by community groups about the</w:t>
            </w:r>
            <w:r w:rsidR="004B1429" w:rsidRPr="008975D2">
              <w:rPr>
                <w:sz w:val="22"/>
                <w:szCs w:val="22"/>
              </w:rPr>
              <w:t xml:space="preserve"> process followed by GAL.  </w:t>
            </w:r>
            <w:r w:rsidR="0028364F" w:rsidRPr="008975D2">
              <w:rPr>
                <w:sz w:val="22"/>
                <w:szCs w:val="22"/>
              </w:rPr>
              <w:t xml:space="preserve">Inclusion of these comments </w:t>
            </w:r>
            <w:r w:rsidR="008975D2">
              <w:rPr>
                <w:sz w:val="22"/>
                <w:szCs w:val="22"/>
              </w:rPr>
              <w:t xml:space="preserve">solely </w:t>
            </w:r>
            <w:r w:rsidR="0028364F" w:rsidRPr="008975D2">
              <w:rPr>
                <w:sz w:val="22"/>
                <w:szCs w:val="22"/>
              </w:rPr>
              <w:t xml:space="preserve">in </w:t>
            </w:r>
            <w:r w:rsidR="008975D2">
              <w:rPr>
                <w:sz w:val="22"/>
                <w:szCs w:val="22"/>
              </w:rPr>
              <w:t>GAL’s proposed</w:t>
            </w:r>
            <w:r w:rsidR="0028364F" w:rsidRPr="008975D2">
              <w:rPr>
                <w:sz w:val="22"/>
                <w:szCs w:val="22"/>
              </w:rPr>
              <w:t xml:space="preserve"> </w:t>
            </w:r>
            <w:r w:rsidR="008975D2">
              <w:rPr>
                <w:sz w:val="22"/>
                <w:szCs w:val="22"/>
              </w:rPr>
              <w:t xml:space="preserve">separate </w:t>
            </w:r>
            <w:r w:rsidR="008975D2" w:rsidRPr="008975D2">
              <w:rPr>
                <w:sz w:val="22"/>
                <w:szCs w:val="22"/>
                <w:lang w:val="en-GB"/>
              </w:rPr>
              <w:t>"Report on Engagement on the Noise Envelope"</w:t>
            </w:r>
            <w:r w:rsidR="0056544B">
              <w:rPr>
                <w:sz w:val="22"/>
                <w:szCs w:val="22"/>
                <w:lang w:val="en-GB"/>
              </w:rPr>
              <w:t xml:space="preserve">, which </w:t>
            </w:r>
            <w:r w:rsidR="0056544B" w:rsidRPr="008975D2">
              <w:rPr>
                <w:sz w:val="22"/>
                <w:szCs w:val="22"/>
                <w:lang w:val="en-GB"/>
              </w:rPr>
              <w:t>we have</w:t>
            </w:r>
            <w:r w:rsidR="0056544B">
              <w:rPr>
                <w:sz w:val="22"/>
                <w:szCs w:val="22"/>
                <w:lang w:val="en-GB"/>
              </w:rPr>
              <w:t xml:space="preserve"> no</w:t>
            </w:r>
            <w:r w:rsidR="0056544B" w:rsidRPr="008975D2">
              <w:rPr>
                <w:sz w:val="22"/>
                <w:szCs w:val="22"/>
                <w:lang w:val="en-GB"/>
              </w:rPr>
              <w:t xml:space="preserve">t seen or had an </w:t>
            </w:r>
            <w:r w:rsidR="0056544B">
              <w:rPr>
                <w:sz w:val="22"/>
                <w:szCs w:val="22"/>
                <w:lang w:val="en-GB"/>
              </w:rPr>
              <w:t xml:space="preserve">opportunity to comment on, </w:t>
            </w:r>
            <w:r w:rsidR="0056544B">
              <w:rPr>
                <w:sz w:val="22"/>
                <w:szCs w:val="22"/>
              </w:rPr>
              <w:t xml:space="preserve">would be inadequate. </w:t>
            </w:r>
          </w:p>
          <w:p w14:paraId="13D4998A" w14:textId="77777777" w:rsidR="008975D2" w:rsidRDefault="008975D2" w:rsidP="005D4E97">
            <w:pPr>
              <w:pStyle w:val="ListParagraph"/>
              <w:ind w:left="0"/>
              <w:rPr>
                <w:sz w:val="22"/>
                <w:szCs w:val="22"/>
              </w:rPr>
            </w:pPr>
          </w:p>
          <w:p w14:paraId="40489037" w14:textId="69E8676C" w:rsidR="007645E4" w:rsidRDefault="0028364F" w:rsidP="005D4E97">
            <w:pPr>
              <w:pStyle w:val="ListParagraph"/>
              <w:ind w:left="0"/>
              <w:rPr>
                <w:sz w:val="22"/>
                <w:szCs w:val="22"/>
              </w:rPr>
            </w:pPr>
            <w:r>
              <w:rPr>
                <w:sz w:val="22"/>
                <w:szCs w:val="22"/>
              </w:rPr>
              <w:t xml:space="preserve">The output </w:t>
            </w:r>
            <w:r w:rsidR="001E48AA">
              <w:rPr>
                <w:sz w:val="22"/>
                <w:szCs w:val="22"/>
              </w:rPr>
              <w:t>report should</w:t>
            </w:r>
            <w:r w:rsidR="004B1429">
              <w:rPr>
                <w:sz w:val="22"/>
                <w:szCs w:val="22"/>
              </w:rPr>
              <w:t xml:space="preserve"> state</w:t>
            </w:r>
            <w:r w:rsidR="007645E4">
              <w:rPr>
                <w:sz w:val="22"/>
                <w:szCs w:val="22"/>
              </w:rPr>
              <w:t>:</w:t>
            </w:r>
          </w:p>
          <w:p w14:paraId="0FE48551" w14:textId="77777777" w:rsidR="007645E4" w:rsidRDefault="007645E4" w:rsidP="005D4E97">
            <w:pPr>
              <w:pStyle w:val="ListParagraph"/>
              <w:ind w:left="0"/>
              <w:rPr>
                <w:sz w:val="22"/>
                <w:szCs w:val="22"/>
              </w:rPr>
            </w:pPr>
          </w:p>
          <w:p w14:paraId="4EB4BF3E" w14:textId="3AD170E3" w:rsidR="004B1429" w:rsidRPr="007645E4" w:rsidRDefault="004B1429" w:rsidP="005D4E97">
            <w:pPr>
              <w:pStyle w:val="ListParagraph"/>
              <w:ind w:left="0"/>
              <w:rPr>
                <w:sz w:val="22"/>
                <w:szCs w:val="22"/>
              </w:rPr>
            </w:pPr>
            <w:r>
              <w:rPr>
                <w:sz w:val="22"/>
                <w:szCs w:val="22"/>
              </w:rPr>
              <w:t>“</w:t>
            </w:r>
            <w:r w:rsidRPr="004B1429">
              <w:rPr>
                <w:i/>
                <w:sz w:val="22"/>
                <w:szCs w:val="22"/>
              </w:rPr>
              <w:t>Community Group participants in GAL’s engagement process repeatedly requested changes in the format of and timetable for the engagement so as to make it more compliant with CAA advice and government requirements.  Amongst</w:t>
            </w:r>
            <w:r>
              <w:rPr>
                <w:i/>
                <w:sz w:val="22"/>
                <w:szCs w:val="22"/>
              </w:rPr>
              <w:t xml:space="preserve"> other things community groups asked for:</w:t>
            </w:r>
          </w:p>
          <w:p w14:paraId="78B89479" w14:textId="77777777" w:rsidR="004B1429" w:rsidRDefault="004B1429" w:rsidP="005D4E97">
            <w:pPr>
              <w:pStyle w:val="ListParagraph"/>
              <w:ind w:left="0"/>
              <w:rPr>
                <w:i/>
                <w:sz w:val="22"/>
                <w:szCs w:val="22"/>
              </w:rPr>
            </w:pPr>
          </w:p>
          <w:p w14:paraId="62EDD213" w14:textId="2845D23C" w:rsidR="004B1429" w:rsidRPr="004B1429" w:rsidRDefault="004B1429" w:rsidP="0028364F">
            <w:pPr>
              <w:pStyle w:val="ListParagraph"/>
              <w:numPr>
                <w:ilvl w:val="0"/>
                <w:numId w:val="2"/>
              </w:numPr>
              <w:ind w:left="276" w:hanging="276"/>
              <w:rPr>
                <w:sz w:val="22"/>
                <w:szCs w:val="22"/>
              </w:rPr>
            </w:pPr>
            <w:proofErr w:type="gramStart"/>
            <w:r>
              <w:rPr>
                <w:i/>
                <w:sz w:val="22"/>
                <w:szCs w:val="22"/>
              </w:rPr>
              <w:t>the</w:t>
            </w:r>
            <w:proofErr w:type="gramEnd"/>
            <w:r>
              <w:rPr>
                <w:i/>
                <w:sz w:val="22"/>
                <w:szCs w:val="22"/>
              </w:rPr>
              <w:t xml:space="preserve"> engagement terms of reference to be changed to comply with CAA advice</w:t>
            </w:r>
          </w:p>
          <w:p w14:paraId="76312DC1" w14:textId="07B22936" w:rsidR="004B1429" w:rsidRPr="007645E4" w:rsidRDefault="004B1429" w:rsidP="0028364F">
            <w:pPr>
              <w:pStyle w:val="ListParagraph"/>
              <w:numPr>
                <w:ilvl w:val="0"/>
                <w:numId w:val="2"/>
              </w:numPr>
              <w:ind w:left="276" w:hanging="276"/>
              <w:rPr>
                <w:i/>
                <w:sz w:val="22"/>
                <w:szCs w:val="22"/>
              </w:rPr>
            </w:pPr>
            <w:proofErr w:type="gramStart"/>
            <w:r w:rsidRPr="007645E4">
              <w:rPr>
                <w:i/>
                <w:sz w:val="22"/>
                <w:szCs w:val="22"/>
              </w:rPr>
              <w:t>the</w:t>
            </w:r>
            <w:proofErr w:type="gramEnd"/>
            <w:r w:rsidRPr="007645E4">
              <w:rPr>
                <w:i/>
                <w:sz w:val="22"/>
                <w:szCs w:val="22"/>
              </w:rPr>
              <w:t xml:space="preserve"> process to be chaired by an independent party</w:t>
            </w:r>
          </w:p>
          <w:p w14:paraId="670B5480" w14:textId="66B640C6" w:rsidR="004B1429" w:rsidRPr="00BB041B" w:rsidRDefault="004B1429" w:rsidP="00BB041B">
            <w:pPr>
              <w:pStyle w:val="ListParagraph"/>
              <w:numPr>
                <w:ilvl w:val="0"/>
                <w:numId w:val="2"/>
              </w:numPr>
              <w:ind w:left="276" w:hanging="276"/>
              <w:rPr>
                <w:i/>
                <w:sz w:val="22"/>
                <w:szCs w:val="22"/>
                <w:lang w:val="en-GB"/>
              </w:rPr>
            </w:pPr>
            <w:proofErr w:type="gramStart"/>
            <w:r w:rsidRPr="007645E4">
              <w:rPr>
                <w:i/>
                <w:sz w:val="22"/>
                <w:szCs w:val="22"/>
              </w:rPr>
              <w:t>the</w:t>
            </w:r>
            <w:proofErr w:type="gramEnd"/>
            <w:r w:rsidRPr="007645E4">
              <w:rPr>
                <w:i/>
                <w:sz w:val="22"/>
                <w:szCs w:val="22"/>
              </w:rPr>
              <w:t xml:space="preserve"> timetable to be extended</w:t>
            </w:r>
            <w:r w:rsidR="00F8636A">
              <w:rPr>
                <w:i/>
                <w:sz w:val="22"/>
                <w:szCs w:val="22"/>
              </w:rPr>
              <w:t xml:space="preserve"> substantially</w:t>
            </w:r>
            <w:r w:rsidRPr="007645E4">
              <w:rPr>
                <w:i/>
                <w:sz w:val="22"/>
                <w:szCs w:val="22"/>
              </w:rPr>
              <w:t xml:space="preserve"> to enable issues to be explored in necessary detail</w:t>
            </w:r>
            <w:r w:rsidR="00BB041B">
              <w:rPr>
                <w:i/>
                <w:sz w:val="22"/>
                <w:szCs w:val="22"/>
              </w:rPr>
              <w:t>,</w:t>
            </w:r>
            <w:r w:rsidRPr="007645E4">
              <w:rPr>
                <w:i/>
                <w:sz w:val="22"/>
                <w:szCs w:val="22"/>
              </w:rPr>
              <w:t> </w:t>
            </w:r>
            <w:r w:rsidR="00BB041B" w:rsidRPr="00BB041B">
              <w:rPr>
                <w:bCs/>
                <w:i/>
                <w:iCs/>
                <w:sz w:val="22"/>
                <w:szCs w:val="22"/>
                <w:lang w:val="en-GB"/>
              </w:rPr>
              <w:t>facilitating greater stakeholder understanding and allowing greater opportunity for consensus</w:t>
            </w:r>
          </w:p>
          <w:p w14:paraId="038E2AC1" w14:textId="605A7C9E" w:rsidR="007645E4" w:rsidRPr="007645E4" w:rsidRDefault="007645E4" w:rsidP="0028364F">
            <w:pPr>
              <w:pStyle w:val="ListParagraph"/>
              <w:numPr>
                <w:ilvl w:val="0"/>
                <w:numId w:val="2"/>
              </w:numPr>
              <w:ind w:left="276" w:hanging="276"/>
              <w:rPr>
                <w:i/>
                <w:sz w:val="22"/>
                <w:szCs w:val="22"/>
              </w:rPr>
            </w:pPr>
            <w:proofErr w:type="gramStart"/>
            <w:r w:rsidRPr="007645E4">
              <w:rPr>
                <w:i/>
                <w:sz w:val="22"/>
                <w:szCs w:val="22"/>
              </w:rPr>
              <w:t>a</w:t>
            </w:r>
            <w:proofErr w:type="gramEnd"/>
            <w:r w:rsidRPr="007645E4">
              <w:rPr>
                <w:i/>
                <w:sz w:val="22"/>
                <w:szCs w:val="22"/>
              </w:rPr>
              <w:t xml:space="preserve"> budget for technical advisory support to be provided</w:t>
            </w:r>
          </w:p>
          <w:p w14:paraId="0714036D" w14:textId="77777777" w:rsidR="007645E4" w:rsidRPr="007645E4" w:rsidRDefault="007645E4" w:rsidP="005D4E97">
            <w:pPr>
              <w:pStyle w:val="ListParagraph"/>
              <w:ind w:left="0"/>
              <w:rPr>
                <w:i/>
                <w:sz w:val="22"/>
                <w:szCs w:val="22"/>
              </w:rPr>
            </w:pPr>
          </w:p>
          <w:p w14:paraId="61A67131" w14:textId="77EAD5AB" w:rsidR="00F54A30" w:rsidRDefault="007645E4" w:rsidP="005D4E97">
            <w:pPr>
              <w:pStyle w:val="ListParagraph"/>
              <w:ind w:left="0"/>
              <w:rPr>
                <w:i/>
                <w:sz w:val="22"/>
                <w:szCs w:val="22"/>
              </w:rPr>
            </w:pPr>
            <w:r w:rsidRPr="007645E4">
              <w:rPr>
                <w:i/>
                <w:sz w:val="22"/>
                <w:szCs w:val="22"/>
              </w:rPr>
              <w:t xml:space="preserve">All of these requests were refused. </w:t>
            </w:r>
            <w:r w:rsidR="004B1429" w:rsidRPr="007645E4">
              <w:rPr>
                <w:i/>
                <w:sz w:val="22"/>
                <w:szCs w:val="22"/>
              </w:rPr>
              <w:t xml:space="preserve">  </w:t>
            </w:r>
          </w:p>
          <w:p w14:paraId="4CDB2787" w14:textId="77777777" w:rsidR="007645E4" w:rsidRDefault="007645E4" w:rsidP="005D4E97">
            <w:pPr>
              <w:pStyle w:val="ListParagraph"/>
              <w:ind w:left="0"/>
              <w:rPr>
                <w:i/>
                <w:sz w:val="22"/>
                <w:szCs w:val="22"/>
              </w:rPr>
            </w:pPr>
          </w:p>
          <w:p w14:paraId="44314711" w14:textId="4214A166" w:rsidR="00F8636A" w:rsidRDefault="007645E4" w:rsidP="00EA120C">
            <w:pPr>
              <w:rPr>
                <w:i/>
                <w:sz w:val="22"/>
                <w:szCs w:val="22"/>
                <w:lang w:val="en-GB"/>
              </w:rPr>
            </w:pPr>
            <w:r w:rsidRPr="007645E4">
              <w:rPr>
                <w:i/>
                <w:sz w:val="22"/>
                <w:szCs w:val="22"/>
              </w:rPr>
              <w:t>Community groups also requested additional</w:t>
            </w:r>
            <w:r>
              <w:rPr>
                <w:i/>
                <w:sz w:val="22"/>
                <w:szCs w:val="22"/>
              </w:rPr>
              <w:t xml:space="preserve"> </w:t>
            </w:r>
            <w:r>
              <w:rPr>
                <w:i/>
                <w:sz w:val="22"/>
                <w:szCs w:val="22"/>
                <w:lang w:val="en-GB"/>
              </w:rPr>
              <w:t xml:space="preserve">data and analysis </w:t>
            </w:r>
            <w:r w:rsidR="00F750AE">
              <w:rPr>
                <w:i/>
                <w:sz w:val="22"/>
                <w:szCs w:val="22"/>
                <w:lang w:val="en-GB"/>
              </w:rPr>
              <w:t>that</w:t>
            </w:r>
            <w:r w:rsidR="001E48AA">
              <w:rPr>
                <w:i/>
                <w:sz w:val="22"/>
                <w:szCs w:val="22"/>
                <w:lang w:val="en-GB"/>
              </w:rPr>
              <w:t>,</w:t>
            </w:r>
            <w:r w:rsidR="00F750AE">
              <w:rPr>
                <w:i/>
                <w:sz w:val="22"/>
                <w:szCs w:val="22"/>
                <w:lang w:val="en-GB"/>
              </w:rPr>
              <w:t xml:space="preserve"> in their view</w:t>
            </w:r>
            <w:r w:rsidR="001E48AA">
              <w:rPr>
                <w:i/>
                <w:sz w:val="22"/>
                <w:szCs w:val="22"/>
                <w:lang w:val="en-GB"/>
              </w:rPr>
              <w:t>,</w:t>
            </w:r>
            <w:r w:rsidR="00F750AE">
              <w:rPr>
                <w:i/>
                <w:sz w:val="22"/>
                <w:szCs w:val="22"/>
                <w:lang w:val="en-GB"/>
              </w:rPr>
              <w:t xml:space="preserve"> was </w:t>
            </w:r>
            <w:r w:rsidR="00F750AE" w:rsidRPr="007645E4">
              <w:rPr>
                <w:i/>
                <w:sz w:val="22"/>
                <w:szCs w:val="22"/>
                <w:lang w:val="en-GB"/>
              </w:rPr>
              <w:t>essential to effective noise envelope engagemen</w:t>
            </w:r>
            <w:r w:rsidR="00F750AE">
              <w:rPr>
                <w:i/>
                <w:sz w:val="22"/>
                <w:szCs w:val="22"/>
                <w:lang w:val="en-GB"/>
              </w:rPr>
              <w:t xml:space="preserve">t and which only GAL was able to provide in the time available.  This was also refused.  </w:t>
            </w:r>
          </w:p>
          <w:p w14:paraId="1E97701C" w14:textId="77777777" w:rsidR="00F8636A" w:rsidRDefault="00F8636A" w:rsidP="00EA120C">
            <w:pPr>
              <w:rPr>
                <w:i/>
                <w:sz w:val="22"/>
                <w:szCs w:val="22"/>
                <w:lang w:val="en-GB"/>
              </w:rPr>
            </w:pPr>
          </w:p>
          <w:p w14:paraId="0E883B3D" w14:textId="43008E1D" w:rsidR="007645E4" w:rsidRDefault="00F750AE" w:rsidP="00EA120C">
            <w:pPr>
              <w:rPr>
                <w:i/>
                <w:sz w:val="22"/>
                <w:szCs w:val="22"/>
                <w:lang w:val="en-GB"/>
              </w:rPr>
            </w:pPr>
            <w:r>
              <w:rPr>
                <w:i/>
                <w:sz w:val="22"/>
                <w:szCs w:val="22"/>
                <w:lang w:val="en-GB"/>
              </w:rPr>
              <w:t xml:space="preserve">Community groups made </w:t>
            </w:r>
            <w:r w:rsidR="00EA120C">
              <w:rPr>
                <w:i/>
                <w:sz w:val="22"/>
                <w:szCs w:val="22"/>
                <w:lang w:val="en-GB"/>
              </w:rPr>
              <w:t xml:space="preserve">clear that the absence of additional information precluded </w:t>
            </w:r>
            <w:r w:rsidR="00EA120C" w:rsidRPr="007645E4">
              <w:rPr>
                <w:i/>
                <w:sz w:val="22"/>
                <w:szCs w:val="22"/>
                <w:lang w:val="en-GB"/>
              </w:rPr>
              <w:t>properly informed engagement on metrics and limits</w:t>
            </w:r>
            <w:r w:rsidR="00EA120C">
              <w:rPr>
                <w:i/>
                <w:sz w:val="22"/>
                <w:szCs w:val="22"/>
                <w:lang w:val="en-GB"/>
              </w:rPr>
              <w:t xml:space="preserve"> and meant that GAL’s process </w:t>
            </w:r>
            <w:r w:rsidR="00C5059F">
              <w:rPr>
                <w:i/>
                <w:sz w:val="22"/>
                <w:szCs w:val="22"/>
                <w:lang w:val="en-GB"/>
              </w:rPr>
              <w:t xml:space="preserve">would not be </w:t>
            </w:r>
            <w:r w:rsidR="00EA120C" w:rsidRPr="007645E4">
              <w:rPr>
                <w:i/>
                <w:sz w:val="22"/>
                <w:szCs w:val="22"/>
                <w:lang w:val="en-GB"/>
              </w:rPr>
              <w:t>able</w:t>
            </w:r>
            <w:r w:rsidR="001E48AA">
              <w:rPr>
                <w:i/>
                <w:sz w:val="22"/>
                <w:szCs w:val="22"/>
                <w:lang w:val="en-GB"/>
              </w:rPr>
              <w:t xml:space="preserve"> to </w:t>
            </w:r>
            <w:r w:rsidR="00EA120C" w:rsidRPr="007645E4">
              <w:rPr>
                <w:i/>
                <w:sz w:val="22"/>
                <w:szCs w:val="22"/>
                <w:lang w:val="en-GB"/>
              </w:rPr>
              <w:t>generat</w:t>
            </w:r>
            <w:r w:rsidR="001E48AA">
              <w:rPr>
                <w:i/>
                <w:sz w:val="22"/>
                <w:szCs w:val="22"/>
                <w:lang w:val="en-GB"/>
              </w:rPr>
              <w:t xml:space="preserve">e </w:t>
            </w:r>
            <w:r w:rsidR="00EA120C" w:rsidRPr="007645E4">
              <w:rPr>
                <w:i/>
                <w:sz w:val="22"/>
                <w:szCs w:val="22"/>
                <w:lang w:val="en-GB"/>
              </w:rPr>
              <w:t>meaningful outputs.  </w:t>
            </w:r>
          </w:p>
          <w:p w14:paraId="2C80A7C3" w14:textId="77777777" w:rsidR="001E48AA" w:rsidRDefault="001E48AA" w:rsidP="00EA120C">
            <w:pPr>
              <w:rPr>
                <w:i/>
                <w:sz w:val="22"/>
                <w:szCs w:val="22"/>
                <w:lang w:val="en-GB"/>
              </w:rPr>
            </w:pPr>
          </w:p>
          <w:p w14:paraId="5EB0B848" w14:textId="26BE1E6F" w:rsidR="001E48AA" w:rsidRPr="001E48AA" w:rsidRDefault="001E48AA" w:rsidP="00EA120C">
            <w:pPr>
              <w:rPr>
                <w:i/>
                <w:sz w:val="22"/>
                <w:szCs w:val="22"/>
              </w:rPr>
            </w:pPr>
            <w:r>
              <w:rPr>
                <w:i/>
                <w:sz w:val="22"/>
                <w:szCs w:val="22"/>
              </w:rPr>
              <w:t>Community groups</w:t>
            </w:r>
            <w:r w:rsidR="00C5059F">
              <w:rPr>
                <w:i/>
                <w:sz w:val="22"/>
                <w:szCs w:val="22"/>
              </w:rPr>
              <w:t xml:space="preserve"> consider </w:t>
            </w:r>
            <w:r>
              <w:rPr>
                <w:i/>
                <w:sz w:val="22"/>
                <w:szCs w:val="22"/>
              </w:rPr>
              <w:t>that GAL’s engagement</w:t>
            </w:r>
            <w:r w:rsidRPr="001E48AA">
              <w:rPr>
                <w:i/>
                <w:sz w:val="22"/>
                <w:szCs w:val="22"/>
              </w:rPr>
              <w:t xml:space="preserve"> did not comply with the CAA’s advice on noise envelope engagement or the Government’s requirements as set out in the Airports National Policy Statement</w:t>
            </w:r>
            <w:r w:rsidR="00C5059F">
              <w:rPr>
                <w:i/>
                <w:sz w:val="22"/>
                <w:szCs w:val="22"/>
              </w:rPr>
              <w:t xml:space="preserve"> (ANPS)</w:t>
            </w:r>
            <w:r w:rsidRPr="001E48AA">
              <w:rPr>
                <w:i/>
                <w:sz w:val="22"/>
                <w:szCs w:val="22"/>
              </w:rPr>
              <w:t>.  Nor did it comprise “</w:t>
            </w:r>
            <w:r w:rsidRPr="001E48AA">
              <w:rPr>
                <w:i/>
                <w:sz w:val="22"/>
                <w:szCs w:val="22"/>
                <w:lang w:val="en-GB"/>
              </w:rPr>
              <w:t xml:space="preserve">another appropriate method" </w:t>
            </w:r>
            <w:r w:rsidRPr="001E48AA">
              <w:rPr>
                <w:i/>
                <w:sz w:val="22"/>
                <w:szCs w:val="22"/>
              </w:rPr>
              <w:t xml:space="preserve">of engagement as advised by the Planning Inspectorate in cases where the CAA’s guidance is not followed.  </w:t>
            </w:r>
            <w:r>
              <w:rPr>
                <w:i/>
                <w:sz w:val="22"/>
                <w:szCs w:val="22"/>
              </w:rPr>
              <w:t>As a result, in their view, t</w:t>
            </w:r>
            <w:r w:rsidRPr="001E48AA">
              <w:rPr>
                <w:i/>
                <w:sz w:val="22"/>
                <w:szCs w:val="22"/>
              </w:rPr>
              <w:t>he engagement GAL has car</w:t>
            </w:r>
            <w:r>
              <w:rPr>
                <w:i/>
                <w:sz w:val="22"/>
                <w:szCs w:val="22"/>
              </w:rPr>
              <w:t xml:space="preserve">ried out does not </w:t>
            </w:r>
            <w:r w:rsidRPr="001E48AA">
              <w:rPr>
                <w:i/>
                <w:sz w:val="22"/>
                <w:szCs w:val="22"/>
              </w:rPr>
              <w:t>provide a sound basis for noise envelope proposals</w:t>
            </w:r>
            <w:r w:rsidR="00C5059F">
              <w:rPr>
                <w:i/>
                <w:sz w:val="22"/>
                <w:szCs w:val="22"/>
              </w:rPr>
              <w:t xml:space="preserve"> </w:t>
            </w:r>
            <w:r w:rsidR="00C5059F" w:rsidRPr="00C5059F">
              <w:rPr>
                <w:i/>
                <w:sz w:val="22"/>
                <w:szCs w:val="22"/>
              </w:rPr>
              <w:t>and GAL’s proposals cannot be considered to have been “</w:t>
            </w:r>
            <w:r w:rsidR="00C5059F" w:rsidRPr="00C5059F">
              <w:rPr>
                <w:i/>
                <w:iCs/>
                <w:sz w:val="22"/>
                <w:szCs w:val="22"/>
              </w:rPr>
              <w:t>defined in consultation with local communities” as required by the ANPS</w:t>
            </w:r>
            <w:r w:rsidRPr="001E48AA">
              <w:rPr>
                <w:i/>
                <w:sz w:val="22"/>
                <w:szCs w:val="22"/>
              </w:rPr>
              <w:t xml:space="preserve">.  </w:t>
            </w:r>
          </w:p>
          <w:p w14:paraId="7724E572" w14:textId="78AEB6C4" w:rsidR="005D4E97" w:rsidRPr="005D4E97" w:rsidRDefault="00F54A30" w:rsidP="005D4E97">
            <w:pPr>
              <w:pStyle w:val="ListParagraph"/>
              <w:ind w:left="0"/>
              <w:rPr>
                <w:sz w:val="22"/>
                <w:szCs w:val="22"/>
              </w:rPr>
            </w:pPr>
            <w:r>
              <w:rPr>
                <w:sz w:val="22"/>
                <w:szCs w:val="22"/>
              </w:rPr>
              <w:t xml:space="preserve">  </w:t>
            </w:r>
          </w:p>
        </w:tc>
      </w:tr>
      <w:tr w:rsidR="005D4E97" w:rsidRPr="005D4E97" w14:paraId="4F249599" w14:textId="77777777" w:rsidTr="00C5059F">
        <w:tc>
          <w:tcPr>
            <w:tcW w:w="400" w:type="dxa"/>
          </w:tcPr>
          <w:p w14:paraId="0C8FD74F" w14:textId="58A10F19" w:rsidR="005D4E97" w:rsidRPr="005D4E97" w:rsidRDefault="005D4E97" w:rsidP="005D4E97">
            <w:pPr>
              <w:pStyle w:val="ListParagraph"/>
              <w:ind w:left="0"/>
              <w:rPr>
                <w:sz w:val="22"/>
                <w:szCs w:val="22"/>
              </w:rPr>
            </w:pPr>
            <w:proofErr w:type="gramStart"/>
            <w:r>
              <w:rPr>
                <w:sz w:val="22"/>
                <w:szCs w:val="22"/>
              </w:rPr>
              <w:t>c</w:t>
            </w:r>
            <w:proofErr w:type="gramEnd"/>
          </w:p>
        </w:tc>
        <w:tc>
          <w:tcPr>
            <w:tcW w:w="1733" w:type="dxa"/>
          </w:tcPr>
          <w:p w14:paraId="0543AC72" w14:textId="73E5934D" w:rsidR="005D4E97" w:rsidRPr="005D4E97" w:rsidRDefault="00283284" w:rsidP="005D4E97">
            <w:pPr>
              <w:pStyle w:val="ListParagraph"/>
              <w:ind w:left="0"/>
              <w:rPr>
                <w:sz w:val="22"/>
                <w:szCs w:val="22"/>
              </w:rPr>
            </w:pPr>
            <w:r>
              <w:rPr>
                <w:sz w:val="22"/>
                <w:szCs w:val="22"/>
              </w:rPr>
              <w:t xml:space="preserve">Slide 2 </w:t>
            </w:r>
            <w:proofErr w:type="spellStart"/>
            <w:r>
              <w:rPr>
                <w:sz w:val="22"/>
                <w:szCs w:val="22"/>
              </w:rPr>
              <w:t>para</w:t>
            </w:r>
            <w:proofErr w:type="spellEnd"/>
            <w:r w:rsidR="00C5059F">
              <w:rPr>
                <w:sz w:val="22"/>
                <w:szCs w:val="22"/>
              </w:rPr>
              <w:t xml:space="preserve"> 2</w:t>
            </w:r>
            <w:r>
              <w:rPr>
                <w:sz w:val="22"/>
                <w:szCs w:val="22"/>
              </w:rPr>
              <w:t xml:space="preserve"> </w:t>
            </w:r>
          </w:p>
        </w:tc>
        <w:tc>
          <w:tcPr>
            <w:tcW w:w="6054" w:type="dxa"/>
          </w:tcPr>
          <w:p w14:paraId="720B3364" w14:textId="77777777" w:rsidR="00283284" w:rsidRDefault="00283284" w:rsidP="00283284">
            <w:pPr>
              <w:rPr>
                <w:sz w:val="22"/>
                <w:szCs w:val="22"/>
              </w:rPr>
            </w:pPr>
            <w:r>
              <w:rPr>
                <w:sz w:val="22"/>
                <w:szCs w:val="22"/>
              </w:rPr>
              <w:t xml:space="preserve">We do not </w:t>
            </w:r>
            <w:proofErr w:type="gramStart"/>
            <w:r>
              <w:rPr>
                <w:sz w:val="22"/>
                <w:szCs w:val="22"/>
              </w:rPr>
              <w:t>agree that</w:t>
            </w:r>
            <w:proofErr w:type="gramEnd"/>
            <w:r>
              <w:rPr>
                <w:sz w:val="22"/>
                <w:szCs w:val="22"/>
              </w:rPr>
              <w:t xml:space="preserve"> “</w:t>
            </w:r>
            <w:r w:rsidRPr="00283284">
              <w:rPr>
                <w:i/>
                <w:sz w:val="22"/>
                <w:szCs w:val="22"/>
              </w:rPr>
              <w:t>Numerous topics were discussed with the aim of reaching agreement, …”</w:t>
            </w:r>
            <w:r>
              <w:rPr>
                <w:sz w:val="22"/>
                <w:szCs w:val="22"/>
              </w:rPr>
              <w:t xml:space="preserve">.    </w:t>
            </w:r>
          </w:p>
          <w:p w14:paraId="760682AB" w14:textId="77777777" w:rsidR="00283284" w:rsidRDefault="00283284" w:rsidP="00283284">
            <w:pPr>
              <w:rPr>
                <w:sz w:val="22"/>
                <w:szCs w:val="22"/>
              </w:rPr>
            </w:pPr>
          </w:p>
          <w:p w14:paraId="05F7BF22" w14:textId="4D3CCDCF" w:rsidR="005D4E97" w:rsidRDefault="00283284" w:rsidP="00DE7BFB">
            <w:pPr>
              <w:rPr>
                <w:sz w:val="22"/>
                <w:szCs w:val="22"/>
              </w:rPr>
            </w:pPr>
            <w:r>
              <w:rPr>
                <w:sz w:val="22"/>
                <w:szCs w:val="22"/>
              </w:rPr>
              <w:t>Given the inadequate timetable GAL imposed on the process</w:t>
            </w:r>
            <w:r w:rsidR="00C5059F">
              <w:rPr>
                <w:sz w:val="22"/>
                <w:szCs w:val="22"/>
              </w:rPr>
              <w:t>,</w:t>
            </w:r>
            <w:r>
              <w:rPr>
                <w:sz w:val="22"/>
                <w:szCs w:val="22"/>
              </w:rPr>
              <w:t xml:space="preserve"> discussion was generally </w:t>
            </w:r>
            <w:r w:rsidR="00DE7BFB">
              <w:rPr>
                <w:sz w:val="22"/>
                <w:szCs w:val="22"/>
              </w:rPr>
              <w:t xml:space="preserve">brief and consisted largely </w:t>
            </w:r>
            <w:proofErr w:type="gramStart"/>
            <w:r w:rsidR="00DE7BFB">
              <w:rPr>
                <w:sz w:val="22"/>
                <w:szCs w:val="22"/>
              </w:rPr>
              <w:t>of</w:t>
            </w:r>
            <w:proofErr w:type="gramEnd"/>
            <w:r w:rsidR="00DE7BFB">
              <w:rPr>
                <w:sz w:val="22"/>
                <w:szCs w:val="22"/>
              </w:rPr>
              <w:t xml:space="preserve"> each side stating their positions on key issues.  Supplementary analysis proposed by community groups was </w:t>
            </w:r>
            <w:r w:rsidR="00C5059F">
              <w:rPr>
                <w:sz w:val="22"/>
                <w:szCs w:val="22"/>
              </w:rPr>
              <w:t>refused</w:t>
            </w:r>
            <w:r w:rsidR="00DE7BFB">
              <w:rPr>
                <w:sz w:val="22"/>
                <w:szCs w:val="22"/>
              </w:rPr>
              <w:t xml:space="preserve"> and no response was provided to majority of points raised by groups and councils. </w:t>
            </w:r>
            <w:r>
              <w:rPr>
                <w:sz w:val="22"/>
                <w:szCs w:val="22"/>
              </w:rPr>
              <w:t xml:space="preserve"> There was little e</w:t>
            </w:r>
            <w:r w:rsidR="001E48AA">
              <w:rPr>
                <w:sz w:val="22"/>
                <w:szCs w:val="22"/>
              </w:rPr>
              <w:t xml:space="preserve">vidence that GAL </w:t>
            </w:r>
            <w:r>
              <w:rPr>
                <w:sz w:val="22"/>
                <w:szCs w:val="22"/>
              </w:rPr>
              <w:t xml:space="preserve">had any interest in reaching agreement </w:t>
            </w:r>
            <w:r w:rsidR="00DE7BFB">
              <w:rPr>
                <w:sz w:val="22"/>
                <w:szCs w:val="22"/>
              </w:rPr>
              <w:t xml:space="preserve">on key issues.  </w:t>
            </w:r>
          </w:p>
          <w:p w14:paraId="103B547A" w14:textId="7F9804A9" w:rsidR="00DE7BFB" w:rsidRPr="005D4E97" w:rsidRDefault="00DE7BFB" w:rsidP="00DE7BFB">
            <w:pPr>
              <w:rPr>
                <w:sz w:val="22"/>
                <w:szCs w:val="22"/>
              </w:rPr>
            </w:pPr>
          </w:p>
        </w:tc>
      </w:tr>
      <w:tr w:rsidR="00ED4179" w:rsidRPr="005D4E97" w14:paraId="7BA2AF6D" w14:textId="77777777" w:rsidTr="00C5059F">
        <w:tc>
          <w:tcPr>
            <w:tcW w:w="400" w:type="dxa"/>
          </w:tcPr>
          <w:p w14:paraId="1CBE73D1" w14:textId="08A3E21F" w:rsidR="00ED4179" w:rsidRDefault="00BB041B" w:rsidP="005D4E97">
            <w:pPr>
              <w:pStyle w:val="ListParagraph"/>
              <w:ind w:left="0"/>
              <w:rPr>
                <w:sz w:val="22"/>
                <w:szCs w:val="22"/>
              </w:rPr>
            </w:pPr>
            <w:proofErr w:type="gramStart"/>
            <w:r>
              <w:rPr>
                <w:sz w:val="22"/>
                <w:szCs w:val="22"/>
              </w:rPr>
              <w:t>d</w:t>
            </w:r>
            <w:proofErr w:type="gramEnd"/>
          </w:p>
        </w:tc>
        <w:tc>
          <w:tcPr>
            <w:tcW w:w="1733" w:type="dxa"/>
          </w:tcPr>
          <w:p w14:paraId="516DE49A" w14:textId="54978A15" w:rsidR="00ED4179" w:rsidRDefault="00ED4179" w:rsidP="005D4E97">
            <w:pPr>
              <w:pStyle w:val="ListParagraph"/>
              <w:ind w:left="0"/>
              <w:rPr>
                <w:sz w:val="22"/>
                <w:szCs w:val="22"/>
              </w:rPr>
            </w:pPr>
            <w:r>
              <w:rPr>
                <w:sz w:val="22"/>
                <w:szCs w:val="22"/>
              </w:rPr>
              <w:t xml:space="preserve">Slide 4 final </w:t>
            </w:r>
            <w:proofErr w:type="spellStart"/>
            <w:r>
              <w:rPr>
                <w:sz w:val="22"/>
                <w:szCs w:val="22"/>
              </w:rPr>
              <w:t>para</w:t>
            </w:r>
            <w:proofErr w:type="spellEnd"/>
          </w:p>
        </w:tc>
        <w:tc>
          <w:tcPr>
            <w:tcW w:w="6054" w:type="dxa"/>
          </w:tcPr>
          <w:p w14:paraId="4736A5B5" w14:textId="77777777" w:rsidR="00ED4179" w:rsidRDefault="00ED4179" w:rsidP="005D4E97">
            <w:pPr>
              <w:pStyle w:val="ListParagraph"/>
              <w:ind w:left="0"/>
              <w:rPr>
                <w:sz w:val="22"/>
                <w:szCs w:val="22"/>
              </w:rPr>
            </w:pPr>
            <w:r>
              <w:rPr>
                <w:sz w:val="22"/>
                <w:szCs w:val="22"/>
              </w:rPr>
              <w:t>We do not agree that “</w:t>
            </w:r>
            <w:r w:rsidRPr="00ED4179">
              <w:rPr>
                <w:i/>
                <w:sz w:val="22"/>
                <w:szCs w:val="22"/>
              </w:rPr>
              <w:t>All presentation and related material was disseminated 5 days prior to each sub-group meeting, allowing time for participants to review the material and raise questions where needed</w:t>
            </w:r>
            <w:r>
              <w:rPr>
                <w:sz w:val="22"/>
                <w:szCs w:val="22"/>
              </w:rPr>
              <w:t xml:space="preserve">”.    </w:t>
            </w:r>
          </w:p>
          <w:p w14:paraId="43074A06" w14:textId="77777777" w:rsidR="00ED4179" w:rsidRDefault="00ED4179" w:rsidP="005D4E97">
            <w:pPr>
              <w:pStyle w:val="ListParagraph"/>
              <w:ind w:left="0"/>
              <w:rPr>
                <w:sz w:val="22"/>
                <w:szCs w:val="22"/>
              </w:rPr>
            </w:pPr>
          </w:p>
          <w:p w14:paraId="01A94BE0" w14:textId="5041FDD0" w:rsidR="00ED4179" w:rsidRDefault="00ED4179" w:rsidP="005D4E97">
            <w:pPr>
              <w:pStyle w:val="ListParagraph"/>
              <w:ind w:left="0"/>
              <w:rPr>
                <w:sz w:val="22"/>
                <w:szCs w:val="22"/>
              </w:rPr>
            </w:pPr>
            <w:r>
              <w:rPr>
                <w:sz w:val="22"/>
                <w:szCs w:val="22"/>
              </w:rPr>
              <w:t>In addition, add after this point:</w:t>
            </w:r>
          </w:p>
          <w:p w14:paraId="18F1AD47" w14:textId="77777777" w:rsidR="00ED4179" w:rsidRDefault="00ED4179" w:rsidP="005D4E97">
            <w:pPr>
              <w:pStyle w:val="ListParagraph"/>
              <w:ind w:left="0"/>
              <w:rPr>
                <w:sz w:val="22"/>
                <w:szCs w:val="22"/>
              </w:rPr>
            </w:pPr>
          </w:p>
          <w:p w14:paraId="1B4D1E5A" w14:textId="50E2DF25" w:rsidR="00ED4179" w:rsidRPr="00ED4179" w:rsidRDefault="00ED4179" w:rsidP="00ED4179">
            <w:pPr>
              <w:rPr>
                <w:sz w:val="22"/>
                <w:szCs w:val="22"/>
                <w:lang w:val="en-GB"/>
              </w:rPr>
            </w:pPr>
            <w:r w:rsidRPr="00ED4179">
              <w:rPr>
                <w:sz w:val="22"/>
                <w:szCs w:val="22"/>
              </w:rPr>
              <w:t>“</w:t>
            </w:r>
            <w:r w:rsidRPr="00ED4179">
              <w:rPr>
                <w:i/>
                <w:sz w:val="22"/>
                <w:szCs w:val="22"/>
              </w:rPr>
              <w:t xml:space="preserve">Community groups note that </w:t>
            </w:r>
            <w:r w:rsidRPr="00ED4179">
              <w:rPr>
                <w:i/>
                <w:sz w:val="22"/>
                <w:szCs w:val="22"/>
                <w:lang w:val="en-GB"/>
              </w:rPr>
              <w:t xml:space="preserve">GAL </w:t>
            </w:r>
            <w:r>
              <w:rPr>
                <w:i/>
                <w:sz w:val="22"/>
                <w:szCs w:val="22"/>
                <w:lang w:val="en-GB"/>
              </w:rPr>
              <w:t xml:space="preserve">only </w:t>
            </w:r>
            <w:r w:rsidRPr="00ED4179">
              <w:rPr>
                <w:i/>
                <w:sz w:val="22"/>
                <w:szCs w:val="22"/>
                <w:lang w:val="en-GB"/>
              </w:rPr>
              <w:t>produce</w:t>
            </w:r>
            <w:r>
              <w:rPr>
                <w:i/>
                <w:sz w:val="22"/>
                <w:szCs w:val="22"/>
                <w:lang w:val="en-GB"/>
              </w:rPr>
              <w:t>d</w:t>
            </w:r>
            <w:r w:rsidRPr="00ED4179">
              <w:rPr>
                <w:i/>
                <w:sz w:val="22"/>
                <w:szCs w:val="22"/>
                <w:lang w:val="en-GB"/>
              </w:rPr>
              <w:t xml:space="preserve"> and circulate</w:t>
            </w:r>
            <w:r>
              <w:rPr>
                <w:i/>
                <w:sz w:val="22"/>
                <w:szCs w:val="22"/>
                <w:lang w:val="en-GB"/>
              </w:rPr>
              <w:t>d</w:t>
            </w:r>
            <w:r w:rsidRPr="00ED4179">
              <w:rPr>
                <w:i/>
                <w:sz w:val="22"/>
                <w:szCs w:val="22"/>
                <w:lang w:val="en-GB"/>
              </w:rPr>
              <w:t xml:space="preserve"> notes</w:t>
            </w:r>
            <w:r>
              <w:rPr>
                <w:i/>
                <w:sz w:val="22"/>
                <w:szCs w:val="22"/>
                <w:lang w:val="en-GB"/>
              </w:rPr>
              <w:t xml:space="preserve"> of two of the engagement meetings held throughout the process</w:t>
            </w:r>
            <w:r w:rsidRPr="00ED4179">
              <w:rPr>
                <w:i/>
                <w:sz w:val="22"/>
                <w:szCs w:val="22"/>
                <w:lang w:val="en-GB"/>
              </w:rPr>
              <w:t xml:space="preserve">. </w:t>
            </w:r>
            <w:r>
              <w:rPr>
                <w:i/>
                <w:sz w:val="22"/>
                <w:szCs w:val="22"/>
                <w:lang w:val="en-GB"/>
              </w:rPr>
              <w:t xml:space="preserve">The lack of record keeping </w:t>
            </w:r>
            <w:r w:rsidRPr="00ED4179">
              <w:rPr>
                <w:i/>
                <w:sz w:val="22"/>
                <w:szCs w:val="22"/>
                <w:lang w:val="en-GB"/>
              </w:rPr>
              <w:t xml:space="preserve">significantly compromised </w:t>
            </w:r>
            <w:r>
              <w:rPr>
                <w:i/>
                <w:sz w:val="22"/>
                <w:szCs w:val="22"/>
                <w:lang w:val="en-GB"/>
              </w:rPr>
              <w:t xml:space="preserve">groups’ </w:t>
            </w:r>
            <w:r w:rsidRPr="00ED4179">
              <w:rPr>
                <w:i/>
                <w:sz w:val="22"/>
                <w:szCs w:val="22"/>
                <w:lang w:val="en-GB"/>
              </w:rPr>
              <w:t>ability to contribute effectively to th</w:t>
            </w:r>
            <w:r>
              <w:rPr>
                <w:i/>
                <w:sz w:val="22"/>
                <w:szCs w:val="22"/>
                <w:lang w:val="en-GB"/>
              </w:rPr>
              <w:t>e engagement process</w:t>
            </w:r>
            <w:r w:rsidRPr="00ED4179">
              <w:rPr>
                <w:i/>
                <w:sz w:val="22"/>
                <w:szCs w:val="22"/>
                <w:lang w:val="en-GB"/>
              </w:rPr>
              <w:t>.</w:t>
            </w:r>
            <w:r>
              <w:rPr>
                <w:sz w:val="22"/>
                <w:szCs w:val="22"/>
                <w:lang w:val="en-GB"/>
              </w:rPr>
              <w:t xml:space="preserve">  </w:t>
            </w:r>
          </w:p>
          <w:p w14:paraId="7FE7D350" w14:textId="0EB2F9F2" w:rsidR="00ED4179" w:rsidRDefault="00ED4179" w:rsidP="005D4E97">
            <w:pPr>
              <w:pStyle w:val="ListParagraph"/>
              <w:ind w:left="0"/>
              <w:rPr>
                <w:sz w:val="22"/>
                <w:szCs w:val="22"/>
              </w:rPr>
            </w:pPr>
          </w:p>
        </w:tc>
      </w:tr>
      <w:tr w:rsidR="005D4E97" w:rsidRPr="005D4E97" w14:paraId="74E0889F" w14:textId="77777777" w:rsidTr="00C5059F">
        <w:tc>
          <w:tcPr>
            <w:tcW w:w="400" w:type="dxa"/>
          </w:tcPr>
          <w:p w14:paraId="498C0126" w14:textId="784E4B4E" w:rsidR="005D4E97" w:rsidRPr="005D4E97" w:rsidRDefault="009052AD" w:rsidP="005D4E97">
            <w:pPr>
              <w:pStyle w:val="ListParagraph"/>
              <w:ind w:left="0"/>
              <w:rPr>
                <w:sz w:val="22"/>
                <w:szCs w:val="22"/>
              </w:rPr>
            </w:pPr>
            <w:proofErr w:type="gramStart"/>
            <w:r>
              <w:rPr>
                <w:sz w:val="22"/>
                <w:szCs w:val="22"/>
              </w:rPr>
              <w:t>e</w:t>
            </w:r>
            <w:proofErr w:type="gramEnd"/>
          </w:p>
        </w:tc>
        <w:tc>
          <w:tcPr>
            <w:tcW w:w="1733" w:type="dxa"/>
          </w:tcPr>
          <w:p w14:paraId="1B14DE3B" w14:textId="2ED43B1A" w:rsidR="005D4E97" w:rsidRPr="005D4E97" w:rsidRDefault="00DE7BFB" w:rsidP="005D4E97">
            <w:pPr>
              <w:pStyle w:val="ListParagraph"/>
              <w:ind w:left="0"/>
              <w:rPr>
                <w:sz w:val="22"/>
                <w:szCs w:val="22"/>
              </w:rPr>
            </w:pPr>
            <w:r>
              <w:rPr>
                <w:sz w:val="22"/>
                <w:szCs w:val="22"/>
              </w:rPr>
              <w:t>Slide 7, 2</w:t>
            </w:r>
            <w:r w:rsidRPr="00DE7BFB">
              <w:rPr>
                <w:sz w:val="22"/>
                <w:szCs w:val="22"/>
                <w:vertAlign w:val="superscript"/>
              </w:rPr>
              <w:t>nd</w:t>
            </w:r>
            <w:r>
              <w:rPr>
                <w:sz w:val="22"/>
                <w:szCs w:val="22"/>
              </w:rPr>
              <w:t xml:space="preserve"> main </w:t>
            </w:r>
            <w:proofErr w:type="spellStart"/>
            <w:r>
              <w:rPr>
                <w:sz w:val="22"/>
                <w:szCs w:val="22"/>
              </w:rPr>
              <w:t>para</w:t>
            </w:r>
            <w:proofErr w:type="spellEnd"/>
          </w:p>
        </w:tc>
        <w:tc>
          <w:tcPr>
            <w:tcW w:w="6054" w:type="dxa"/>
          </w:tcPr>
          <w:p w14:paraId="045BACCB" w14:textId="77777777" w:rsidR="00C35728" w:rsidRDefault="00C35728" w:rsidP="00C35728">
            <w:pPr>
              <w:pStyle w:val="ListParagraph"/>
              <w:ind w:left="0"/>
              <w:rPr>
                <w:sz w:val="22"/>
                <w:szCs w:val="22"/>
              </w:rPr>
            </w:pPr>
            <w:r>
              <w:rPr>
                <w:sz w:val="22"/>
                <w:szCs w:val="22"/>
              </w:rPr>
              <w:t xml:space="preserve">Amend to read: </w:t>
            </w:r>
          </w:p>
          <w:p w14:paraId="4D445768" w14:textId="77777777" w:rsidR="00C35728" w:rsidRDefault="00C35728" w:rsidP="00C35728">
            <w:pPr>
              <w:pStyle w:val="ListParagraph"/>
              <w:ind w:left="0"/>
              <w:rPr>
                <w:sz w:val="22"/>
                <w:szCs w:val="22"/>
              </w:rPr>
            </w:pPr>
          </w:p>
          <w:p w14:paraId="1382F47D" w14:textId="71B439BE" w:rsidR="005D4E97" w:rsidRPr="009052AD" w:rsidRDefault="00C35728" w:rsidP="005D4E97">
            <w:pPr>
              <w:pStyle w:val="ListParagraph"/>
              <w:ind w:left="0"/>
              <w:rPr>
                <w:i/>
                <w:sz w:val="22"/>
                <w:szCs w:val="22"/>
              </w:rPr>
            </w:pPr>
            <w:r>
              <w:rPr>
                <w:i/>
                <w:sz w:val="22"/>
                <w:szCs w:val="22"/>
              </w:rPr>
              <w:t>“</w:t>
            </w:r>
            <w:r w:rsidRPr="00C35728">
              <w:rPr>
                <w:i/>
                <w:sz w:val="22"/>
                <w:szCs w:val="22"/>
              </w:rPr>
              <w:t xml:space="preserve">The APF establishes the overall policy on aviation noise, </w:t>
            </w:r>
            <w:r>
              <w:rPr>
                <w:i/>
                <w:sz w:val="22"/>
                <w:szCs w:val="22"/>
              </w:rPr>
              <w:t xml:space="preserve">requires a </w:t>
            </w:r>
            <w:r w:rsidRPr="00C35728">
              <w:rPr>
                <w:i/>
                <w:sz w:val="22"/>
                <w:szCs w:val="22"/>
              </w:rPr>
              <w:t>sharing of benefits</w:t>
            </w:r>
            <w:r w:rsidR="009052AD">
              <w:rPr>
                <w:i/>
                <w:sz w:val="22"/>
                <w:szCs w:val="22"/>
              </w:rPr>
              <w:t xml:space="preserve"> as airports grow</w:t>
            </w:r>
            <w:r w:rsidRPr="00C35728">
              <w:rPr>
                <w:i/>
                <w:sz w:val="22"/>
                <w:szCs w:val="22"/>
              </w:rPr>
              <w:t xml:space="preserve">, and </w:t>
            </w:r>
            <w:r w:rsidR="009052AD">
              <w:rPr>
                <w:i/>
                <w:sz w:val="22"/>
                <w:szCs w:val="22"/>
              </w:rPr>
              <w:t xml:space="preserve">envisages </w:t>
            </w:r>
            <w:r w:rsidRPr="00C35728">
              <w:rPr>
                <w:i/>
                <w:sz w:val="22"/>
                <w:szCs w:val="22"/>
              </w:rPr>
              <w:t xml:space="preserve">using a noise envelope as a means </w:t>
            </w:r>
            <w:r w:rsidRPr="009052AD">
              <w:rPr>
                <w:i/>
                <w:sz w:val="22"/>
                <w:szCs w:val="22"/>
              </w:rPr>
              <w:t xml:space="preserve">of </w:t>
            </w:r>
            <w:r w:rsidRPr="00C35728">
              <w:rPr>
                <w:i/>
                <w:sz w:val="22"/>
                <w:szCs w:val="22"/>
              </w:rPr>
              <w:t>strik</w:t>
            </w:r>
            <w:r>
              <w:rPr>
                <w:i/>
                <w:sz w:val="22"/>
                <w:szCs w:val="22"/>
              </w:rPr>
              <w:t>ing</w:t>
            </w:r>
            <w:r w:rsidR="009052AD">
              <w:rPr>
                <w:i/>
                <w:sz w:val="22"/>
                <w:szCs w:val="22"/>
              </w:rPr>
              <w:t xml:space="preserve"> a </w:t>
            </w:r>
            <w:r w:rsidRPr="00C35728">
              <w:rPr>
                <w:i/>
                <w:sz w:val="22"/>
                <w:szCs w:val="22"/>
              </w:rPr>
              <w:t>balance between</w:t>
            </w:r>
            <w:r w:rsidR="009052AD">
              <w:rPr>
                <w:i/>
                <w:sz w:val="22"/>
                <w:szCs w:val="22"/>
              </w:rPr>
              <w:t xml:space="preserve"> growth and</w:t>
            </w:r>
            <w:r w:rsidRPr="00C35728">
              <w:rPr>
                <w:i/>
                <w:sz w:val="22"/>
                <w:szCs w:val="22"/>
              </w:rPr>
              <w:t xml:space="preserve"> noise</w:t>
            </w:r>
            <w:r w:rsidR="009052AD">
              <w:rPr>
                <w:i/>
                <w:sz w:val="22"/>
                <w:szCs w:val="22"/>
              </w:rPr>
              <w:t xml:space="preserve"> reduction”.  It specifically </w:t>
            </w:r>
            <w:proofErr w:type="gramStart"/>
            <w:r w:rsidR="009052AD">
              <w:rPr>
                <w:i/>
                <w:sz w:val="22"/>
                <w:szCs w:val="22"/>
              </w:rPr>
              <w:t>states</w:t>
            </w:r>
            <w:proofErr w:type="gramEnd"/>
            <w:r w:rsidR="007375C6">
              <w:rPr>
                <w:sz w:val="22"/>
                <w:szCs w:val="22"/>
              </w:rPr>
              <w:t xml:space="preserve"> </w:t>
            </w:r>
            <w:r w:rsidR="007375C6" w:rsidRPr="007375C6">
              <w:rPr>
                <w:i/>
                <w:sz w:val="22"/>
                <w:szCs w:val="22"/>
              </w:rPr>
              <w:t>“</w:t>
            </w:r>
            <w:r w:rsidR="007375C6" w:rsidRPr="007375C6">
              <w:rPr>
                <w:i/>
                <w:sz w:val="22"/>
                <w:szCs w:val="22"/>
                <w:lang w:val="en-GB"/>
              </w:rPr>
              <w:t>As a general principle, the Government therefore expects that future growth in aviation should ensure that benefits are shared between the aviation industry and local communities. This means that the industry must continue to reduce and mitigate noise as airport capacity grows.”</w:t>
            </w:r>
            <w:r w:rsidR="007375C6">
              <w:rPr>
                <w:i/>
                <w:sz w:val="22"/>
                <w:szCs w:val="22"/>
                <w:lang w:val="en-GB"/>
              </w:rPr>
              <w:t>”</w:t>
            </w:r>
          </w:p>
          <w:p w14:paraId="0A9E4598" w14:textId="2B834B67" w:rsidR="00C35728" w:rsidRPr="005D4E97" w:rsidRDefault="00C35728" w:rsidP="00C35728">
            <w:pPr>
              <w:pStyle w:val="ListParagraph"/>
              <w:ind w:left="0"/>
              <w:rPr>
                <w:sz w:val="22"/>
                <w:szCs w:val="22"/>
              </w:rPr>
            </w:pPr>
          </w:p>
        </w:tc>
      </w:tr>
      <w:tr w:rsidR="005D4E97" w:rsidRPr="005D4E97" w14:paraId="419EE4C8" w14:textId="77777777" w:rsidTr="00C5059F">
        <w:tc>
          <w:tcPr>
            <w:tcW w:w="400" w:type="dxa"/>
          </w:tcPr>
          <w:p w14:paraId="64E622A3" w14:textId="420D1C88" w:rsidR="005D4E97" w:rsidRPr="005D4E97" w:rsidRDefault="001275AB" w:rsidP="005D4E97">
            <w:pPr>
              <w:pStyle w:val="ListParagraph"/>
              <w:ind w:left="0"/>
              <w:rPr>
                <w:sz w:val="22"/>
                <w:szCs w:val="22"/>
              </w:rPr>
            </w:pPr>
            <w:proofErr w:type="gramStart"/>
            <w:r>
              <w:rPr>
                <w:sz w:val="22"/>
                <w:szCs w:val="22"/>
              </w:rPr>
              <w:t>f</w:t>
            </w:r>
            <w:proofErr w:type="gramEnd"/>
          </w:p>
        </w:tc>
        <w:tc>
          <w:tcPr>
            <w:tcW w:w="1733" w:type="dxa"/>
          </w:tcPr>
          <w:p w14:paraId="6BCBB030" w14:textId="655A739A" w:rsidR="005D4E97" w:rsidRPr="005D4E97" w:rsidRDefault="00C53386" w:rsidP="00C53386">
            <w:pPr>
              <w:pStyle w:val="ListParagraph"/>
              <w:ind w:left="0"/>
              <w:rPr>
                <w:sz w:val="22"/>
                <w:szCs w:val="22"/>
              </w:rPr>
            </w:pPr>
            <w:r w:rsidRPr="00C53386">
              <w:rPr>
                <w:sz w:val="22"/>
                <w:szCs w:val="22"/>
              </w:rPr>
              <w:t xml:space="preserve">Slide 7, </w:t>
            </w:r>
            <w:r>
              <w:rPr>
                <w:sz w:val="22"/>
                <w:szCs w:val="22"/>
              </w:rPr>
              <w:t xml:space="preserve">final </w:t>
            </w:r>
            <w:proofErr w:type="spellStart"/>
            <w:r w:rsidRPr="00C53386">
              <w:rPr>
                <w:sz w:val="22"/>
                <w:szCs w:val="22"/>
              </w:rPr>
              <w:t>para</w:t>
            </w:r>
            <w:proofErr w:type="spellEnd"/>
          </w:p>
        </w:tc>
        <w:tc>
          <w:tcPr>
            <w:tcW w:w="6054" w:type="dxa"/>
          </w:tcPr>
          <w:p w14:paraId="16201FF1" w14:textId="40024842" w:rsidR="00C53386" w:rsidRDefault="00C53386" w:rsidP="00C53386">
            <w:pPr>
              <w:rPr>
                <w:sz w:val="22"/>
                <w:szCs w:val="22"/>
              </w:rPr>
            </w:pPr>
            <w:r>
              <w:rPr>
                <w:sz w:val="22"/>
                <w:szCs w:val="22"/>
              </w:rPr>
              <w:t>Change final sentence</w:t>
            </w:r>
            <w:r w:rsidR="00890A4B">
              <w:rPr>
                <w:sz w:val="22"/>
                <w:szCs w:val="22"/>
              </w:rPr>
              <w:t xml:space="preserve"> to</w:t>
            </w:r>
            <w:r>
              <w:rPr>
                <w:sz w:val="22"/>
                <w:szCs w:val="22"/>
              </w:rPr>
              <w:t xml:space="preserve">: </w:t>
            </w:r>
          </w:p>
          <w:p w14:paraId="15A22E3E" w14:textId="77777777" w:rsidR="00C53386" w:rsidRDefault="00C53386" w:rsidP="00C53386">
            <w:pPr>
              <w:rPr>
                <w:sz w:val="22"/>
                <w:szCs w:val="22"/>
              </w:rPr>
            </w:pPr>
          </w:p>
          <w:p w14:paraId="407770C2" w14:textId="09492CE8" w:rsidR="00C53386" w:rsidRPr="007C264C" w:rsidRDefault="00C53386" w:rsidP="00C53386">
            <w:pPr>
              <w:rPr>
                <w:i/>
                <w:sz w:val="22"/>
                <w:szCs w:val="22"/>
              </w:rPr>
            </w:pPr>
            <w:r w:rsidRPr="007C264C">
              <w:rPr>
                <w:i/>
                <w:sz w:val="22"/>
                <w:szCs w:val="22"/>
              </w:rPr>
              <w:t xml:space="preserve">“In both cases there would be increases in noise when the runway opened, but in the longer-term </w:t>
            </w:r>
            <w:proofErr w:type="spellStart"/>
            <w:r w:rsidRPr="007C264C">
              <w:rPr>
                <w:i/>
                <w:sz w:val="22"/>
                <w:szCs w:val="22"/>
              </w:rPr>
              <w:t>leq</w:t>
            </w:r>
            <w:proofErr w:type="spellEnd"/>
            <w:r w:rsidRPr="007C264C">
              <w:rPr>
                <w:i/>
                <w:sz w:val="22"/>
                <w:szCs w:val="22"/>
              </w:rPr>
              <w:t xml:space="preserve"> contours would reduce to levels below those in 2019.   Community groups made clear that </w:t>
            </w:r>
            <w:r w:rsidR="00C5059F">
              <w:rPr>
                <w:i/>
                <w:sz w:val="22"/>
                <w:szCs w:val="22"/>
              </w:rPr>
              <w:t>in their view this did not amount</w:t>
            </w:r>
            <w:r w:rsidR="00890A4B" w:rsidRPr="007C264C">
              <w:rPr>
                <w:i/>
                <w:sz w:val="22"/>
                <w:szCs w:val="22"/>
              </w:rPr>
              <w:t xml:space="preserve"> to a reduction in noise, because </w:t>
            </w:r>
            <w:proofErr w:type="spellStart"/>
            <w:r w:rsidR="00890A4B" w:rsidRPr="007C264C">
              <w:rPr>
                <w:i/>
                <w:sz w:val="22"/>
                <w:szCs w:val="22"/>
              </w:rPr>
              <w:t>Leq</w:t>
            </w:r>
            <w:proofErr w:type="spellEnd"/>
            <w:r w:rsidR="00890A4B" w:rsidRPr="007C264C">
              <w:rPr>
                <w:i/>
                <w:sz w:val="22"/>
                <w:szCs w:val="22"/>
              </w:rPr>
              <w:t xml:space="preserve"> </w:t>
            </w:r>
            <w:r w:rsidR="007C264C">
              <w:rPr>
                <w:i/>
                <w:sz w:val="22"/>
                <w:szCs w:val="22"/>
              </w:rPr>
              <w:t>does</w:t>
            </w:r>
            <w:r w:rsidR="00890A4B" w:rsidRPr="007C264C">
              <w:rPr>
                <w:i/>
                <w:sz w:val="22"/>
                <w:szCs w:val="22"/>
              </w:rPr>
              <w:t xml:space="preserve"> not adequately represent the aircraft noise experienced by communities”.  </w:t>
            </w:r>
          </w:p>
          <w:p w14:paraId="00330DA3" w14:textId="77777777" w:rsidR="005D4E97" w:rsidRPr="005D4E97" w:rsidRDefault="005D4E97" w:rsidP="005D4E97">
            <w:pPr>
              <w:pStyle w:val="ListParagraph"/>
              <w:ind w:left="0"/>
              <w:rPr>
                <w:sz w:val="22"/>
                <w:szCs w:val="22"/>
              </w:rPr>
            </w:pPr>
          </w:p>
        </w:tc>
      </w:tr>
      <w:tr w:rsidR="009F4F1D" w:rsidRPr="005D4E97" w14:paraId="4459C0E6" w14:textId="77777777" w:rsidTr="00C5059F">
        <w:tc>
          <w:tcPr>
            <w:tcW w:w="400" w:type="dxa"/>
          </w:tcPr>
          <w:p w14:paraId="5750AD48" w14:textId="5351C884" w:rsidR="009F4F1D" w:rsidRDefault="001275AB" w:rsidP="005D4E97">
            <w:pPr>
              <w:pStyle w:val="ListParagraph"/>
              <w:ind w:left="0"/>
              <w:rPr>
                <w:sz w:val="22"/>
                <w:szCs w:val="22"/>
              </w:rPr>
            </w:pPr>
            <w:proofErr w:type="gramStart"/>
            <w:r>
              <w:rPr>
                <w:sz w:val="22"/>
                <w:szCs w:val="22"/>
              </w:rPr>
              <w:t>g</w:t>
            </w:r>
            <w:proofErr w:type="gramEnd"/>
          </w:p>
        </w:tc>
        <w:tc>
          <w:tcPr>
            <w:tcW w:w="1733" w:type="dxa"/>
          </w:tcPr>
          <w:p w14:paraId="4D1479B3" w14:textId="7A2BC58E" w:rsidR="009F4F1D" w:rsidRPr="005D4E97" w:rsidRDefault="00FF0D69" w:rsidP="005D4E97">
            <w:pPr>
              <w:pStyle w:val="ListParagraph"/>
              <w:ind w:left="0"/>
              <w:rPr>
                <w:sz w:val="22"/>
                <w:szCs w:val="22"/>
              </w:rPr>
            </w:pPr>
            <w:r>
              <w:rPr>
                <w:sz w:val="22"/>
                <w:szCs w:val="22"/>
              </w:rPr>
              <w:t xml:space="preserve">Slide 8, final </w:t>
            </w:r>
            <w:proofErr w:type="spellStart"/>
            <w:r>
              <w:rPr>
                <w:sz w:val="22"/>
                <w:szCs w:val="22"/>
              </w:rPr>
              <w:t>para</w:t>
            </w:r>
            <w:proofErr w:type="spellEnd"/>
          </w:p>
        </w:tc>
        <w:tc>
          <w:tcPr>
            <w:tcW w:w="6054" w:type="dxa"/>
          </w:tcPr>
          <w:p w14:paraId="328CB318" w14:textId="77777777" w:rsidR="00FF0D69" w:rsidRDefault="00FF0D69" w:rsidP="00FF0D69">
            <w:pPr>
              <w:rPr>
                <w:sz w:val="22"/>
                <w:szCs w:val="22"/>
              </w:rPr>
            </w:pPr>
            <w:r>
              <w:rPr>
                <w:sz w:val="22"/>
                <w:szCs w:val="22"/>
              </w:rPr>
              <w:t xml:space="preserve">Amend to read: </w:t>
            </w:r>
          </w:p>
          <w:p w14:paraId="7E11BB58" w14:textId="77777777" w:rsidR="00FF0D69" w:rsidRDefault="00FF0D69" w:rsidP="00FF0D69">
            <w:pPr>
              <w:rPr>
                <w:sz w:val="22"/>
                <w:szCs w:val="22"/>
              </w:rPr>
            </w:pPr>
          </w:p>
          <w:p w14:paraId="60635E8E" w14:textId="681C3C00" w:rsidR="00FF0D69" w:rsidRPr="00FF0D69" w:rsidRDefault="00FF0D69" w:rsidP="00FF0D69">
            <w:pPr>
              <w:rPr>
                <w:i/>
                <w:sz w:val="22"/>
                <w:szCs w:val="22"/>
              </w:rPr>
            </w:pPr>
            <w:r w:rsidRPr="00FF0D69">
              <w:rPr>
                <w:i/>
                <w:sz w:val="22"/>
                <w:szCs w:val="22"/>
              </w:rPr>
              <w:t>“One particular Community opinion stated that within Gatwick’s proposal, the day period 51dB noise contour would be permitted to increase from 136km</w:t>
            </w:r>
            <w:r w:rsidRPr="007C264C">
              <w:rPr>
                <w:i/>
                <w:sz w:val="22"/>
                <w:szCs w:val="22"/>
                <w:vertAlign w:val="superscript"/>
              </w:rPr>
              <w:t>2</w:t>
            </w:r>
            <w:r w:rsidRPr="00FF0D69">
              <w:rPr>
                <w:i/>
                <w:sz w:val="22"/>
                <w:szCs w:val="22"/>
              </w:rPr>
              <w:t xml:space="preserve"> in 2019 (and forecast 120km</w:t>
            </w:r>
            <w:r w:rsidRPr="007C264C">
              <w:rPr>
                <w:i/>
                <w:sz w:val="22"/>
                <w:szCs w:val="22"/>
                <w:vertAlign w:val="superscript"/>
              </w:rPr>
              <w:t>2</w:t>
            </w:r>
            <w:r w:rsidRPr="00FF0D69">
              <w:rPr>
                <w:i/>
                <w:sz w:val="22"/>
                <w:szCs w:val="22"/>
              </w:rPr>
              <w:t xml:space="preserve"> in 2029) to 146.7km</w:t>
            </w:r>
            <w:r w:rsidRPr="007C264C">
              <w:rPr>
                <w:i/>
                <w:sz w:val="22"/>
                <w:szCs w:val="22"/>
                <w:vertAlign w:val="superscript"/>
              </w:rPr>
              <w:t>2</w:t>
            </w:r>
            <w:r w:rsidRPr="00FF0D69">
              <w:rPr>
                <w:i/>
                <w:sz w:val="22"/>
                <w:szCs w:val="22"/>
              </w:rPr>
              <w:t>, and that noise could potentially remain above historic levels indefinitely if the ATM threshold of 382,000 was not reached.”</w:t>
            </w:r>
          </w:p>
          <w:p w14:paraId="1E36AFBB" w14:textId="77777777" w:rsidR="009F4F1D" w:rsidRDefault="009F4F1D" w:rsidP="005D4E97">
            <w:pPr>
              <w:pStyle w:val="ListParagraph"/>
              <w:ind w:left="0"/>
              <w:rPr>
                <w:sz w:val="22"/>
                <w:szCs w:val="22"/>
              </w:rPr>
            </w:pPr>
          </w:p>
          <w:p w14:paraId="330069B5" w14:textId="70FF95E6" w:rsidR="00FF0D69" w:rsidRDefault="00FF0D69" w:rsidP="005D4E97">
            <w:pPr>
              <w:pStyle w:val="ListParagraph"/>
              <w:ind w:left="0"/>
              <w:rPr>
                <w:sz w:val="22"/>
                <w:szCs w:val="22"/>
              </w:rPr>
            </w:pPr>
            <w:r>
              <w:rPr>
                <w:sz w:val="22"/>
                <w:szCs w:val="22"/>
              </w:rPr>
              <w:t xml:space="preserve">Please note that this is a statement of fact not an opinion. </w:t>
            </w:r>
          </w:p>
          <w:p w14:paraId="258D9A00" w14:textId="77777777" w:rsidR="00FF0D69" w:rsidRPr="005D4E97" w:rsidRDefault="00FF0D69" w:rsidP="005D4E97">
            <w:pPr>
              <w:pStyle w:val="ListParagraph"/>
              <w:ind w:left="0"/>
              <w:rPr>
                <w:sz w:val="22"/>
                <w:szCs w:val="22"/>
              </w:rPr>
            </w:pPr>
          </w:p>
        </w:tc>
      </w:tr>
      <w:tr w:rsidR="00C4497F" w:rsidRPr="005D4E97" w14:paraId="40C99507" w14:textId="77777777" w:rsidTr="00C5059F">
        <w:tc>
          <w:tcPr>
            <w:tcW w:w="400" w:type="dxa"/>
          </w:tcPr>
          <w:p w14:paraId="2447251D" w14:textId="50A1AFBD" w:rsidR="00C4497F" w:rsidRDefault="001275AB" w:rsidP="005D4E97">
            <w:pPr>
              <w:pStyle w:val="ListParagraph"/>
              <w:ind w:left="0"/>
              <w:rPr>
                <w:sz w:val="22"/>
                <w:szCs w:val="22"/>
              </w:rPr>
            </w:pPr>
            <w:proofErr w:type="gramStart"/>
            <w:r>
              <w:rPr>
                <w:sz w:val="22"/>
                <w:szCs w:val="22"/>
              </w:rPr>
              <w:t>h</w:t>
            </w:r>
            <w:proofErr w:type="gramEnd"/>
          </w:p>
        </w:tc>
        <w:tc>
          <w:tcPr>
            <w:tcW w:w="1733" w:type="dxa"/>
          </w:tcPr>
          <w:p w14:paraId="586799EF" w14:textId="1066F2EE" w:rsidR="00C4497F" w:rsidRDefault="00C4497F" w:rsidP="005D4E97">
            <w:pPr>
              <w:pStyle w:val="ListParagraph"/>
              <w:ind w:left="0"/>
              <w:rPr>
                <w:sz w:val="22"/>
                <w:szCs w:val="22"/>
              </w:rPr>
            </w:pPr>
            <w:r>
              <w:rPr>
                <w:sz w:val="22"/>
                <w:szCs w:val="22"/>
              </w:rPr>
              <w:t>Slide 8</w:t>
            </w:r>
          </w:p>
        </w:tc>
        <w:tc>
          <w:tcPr>
            <w:tcW w:w="6054" w:type="dxa"/>
          </w:tcPr>
          <w:p w14:paraId="342417F9" w14:textId="77777777" w:rsidR="00C4497F" w:rsidRDefault="00C4497F" w:rsidP="00D158A7">
            <w:pPr>
              <w:rPr>
                <w:bCs/>
                <w:sz w:val="22"/>
                <w:szCs w:val="22"/>
              </w:rPr>
            </w:pPr>
            <w:r>
              <w:rPr>
                <w:bCs/>
                <w:sz w:val="22"/>
                <w:szCs w:val="22"/>
              </w:rPr>
              <w:t>Add at the end:</w:t>
            </w:r>
          </w:p>
          <w:p w14:paraId="28AB76A7" w14:textId="77777777" w:rsidR="00C4497F" w:rsidRDefault="00C4497F" w:rsidP="00D158A7">
            <w:pPr>
              <w:rPr>
                <w:bCs/>
                <w:sz w:val="22"/>
                <w:szCs w:val="22"/>
              </w:rPr>
            </w:pPr>
          </w:p>
          <w:p w14:paraId="41F7F295" w14:textId="2BC25399" w:rsidR="00C4497F" w:rsidRPr="00C4497F" w:rsidRDefault="00C4497F" w:rsidP="00C4497F">
            <w:pPr>
              <w:rPr>
                <w:bCs/>
                <w:i/>
                <w:sz w:val="22"/>
                <w:szCs w:val="22"/>
                <w:lang w:val="en-GB"/>
              </w:rPr>
            </w:pPr>
            <w:r w:rsidRPr="00C4497F">
              <w:rPr>
                <w:bCs/>
                <w:i/>
                <w:sz w:val="22"/>
                <w:szCs w:val="22"/>
              </w:rPr>
              <w:t>“</w:t>
            </w:r>
            <w:r w:rsidRPr="00C4497F">
              <w:rPr>
                <w:bCs/>
                <w:i/>
                <w:sz w:val="22"/>
                <w:szCs w:val="22"/>
                <w:lang w:val="en-GB"/>
              </w:rPr>
              <w:t xml:space="preserve">Community groups </w:t>
            </w:r>
            <w:r w:rsidR="000B5040">
              <w:rPr>
                <w:bCs/>
                <w:i/>
                <w:sz w:val="22"/>
                <w:szCs w:val="22"/>
                <w:lang w:val="en-GB"/>
              </w:rPr>
              <w:t>presented analysis t</w:t>
            </w:r>
            <w:r w:rsidR="00C5059F">
              <w:rPr>
                <w:bCs/>
                <w:i/>
                <w:sz w:val="22"/>
                <w:szCs w:val="22"/>
                <w:lang w:val="en-GB"/>
              </w:rPr>
              <w:t>hat, in their view, demonstrated</w:t>
            </w:r>
            <w:r>
              <w:rPr>
                <w:bCs/>
                <w:i/>
                <w:sz w:val="22"/>
                <w:szCs w:val="22"/>
                <w:lang w:val="en-GB"/>
              </w:rPr>
              <w:t xml:space="preserve"> that GAL’s</w:t>
            </w:r>
            <w:r w:rsidRPr="00C4497F">
              <w:rPr>
                <w:bCs/>
                <w:i/>
                <w:sz w:val="22"/>
                <w:szCs w:val="22"/>
                <w:lang w:val="en-GB"/>
              </w:rPr>
              <w:t xml:space="preserve"> proposals do not meet </w:t>
            </w:r>
            <w:r>
              <w:rPr>
                <w:bCs/>
                <w:i/>
                <w:sz w:val="22"/>
                <w:szCs w:val="22"/>
                <w:lang w:val="en-GB"/>
              </w:rPr>
              <w:t>government policy on the sharing of benefits</w:t>
            </w:r>
            <w:r w:rsidR="00667F16">
              <w:rPr>
                <w:bCs/>
                <w:i/>
                <w:sz w:val="22"/>
                <w:szCs w:val="22"/>
                <w:lang w:val="en-GB"/>
              </w:rPr>
              <w:t xml:space="preserve"> and the obligation to reduce noise as airport capacity grows</w:t>
            </w:r>
            <w:r w:rsidR="000B5040">
              <w:rPr>
                <w:bCs/>
                <w:i/>
                <w:sz w:val="22"/>
                <w:szCs w:val="22"/>
                <w:lang w:val="en-GB"/>
              </w:rPr>
              <w:t>.”</w:t>
            </w:r>
          </w:p>
          <w:p w14:paraId="19893BD8" w14:textId="4C2011BD" w:rsidR="00C4497F" w:rsidRPr="00D158A7" w:rsidRDefault="00C4497F" w:rsidP="00D158A7">
            <w:pPr>
              <w:rPr>
                <w:bCs/>
                <w:sz w:val="22"/>
                <w:szCs w:val="22"/>
              </w:rPr>
            </w:pPr>
          </w:p>
        </w:tc>
      </w:tr>
      <w:tr w:rsidR="009F4F1D" w:rsidRPr="005D4E97" w14:paraId="554C665A" w14:textId="77777777" w:rsidTr="00C5059F">
        <w:tc>
          <w:tcPr>
            <w:tcW w:w="400" w:type="dxa"/>
          </w:tcPr>
          <w:p w14:paraId="424A1BA9" w14:textId="540FFFAE" w:rsidR="009F4F1D" w:rsidRDefault="001275AB" w:rsidP="005D4E97">
            <w:pPr>
              <w:pStyle w:val="ListParagraph"/>
              <w:ind w:left="0"/>
              <w:rPr>
                <w:sz w:val="22"/>
                <w:szCs w:val="22"/>
              </w:rPr>
            </w:pPr>
            <w:proofErr w:type="spellStart"/>
            <w:proofErr w:type="gramStart"/>
            <w:r>
              <w:rPr>
                <w:sz w:val="22"/>
                <w:szCs w:val="22"/>
              </w:rPr>
              <w:t>i</w:t>
            </w:r>
            <w:proofErr w:type="spellEnd"/>
            <w:proofErr w:type="gramEnd"/>
          </w:p>
        </w:tc>
        <w:tc>
          <w:tcPr>
            <w:tcW w:w="1733" w:type="dxa"/>
          </w:tcPr>
          <w:p w14:paraId="3013EFA6" w14:textId="3F0B33D6" w:rsidR="009F4F1D" w:rsidRPr="005D4E97" w:rsidRDefault="00D158A7" w:rsidP="005D4E97">
            <w:pPr>
              <w:pStyle w:val="ListParagraph"/>
              <w:ind w:left="0"/>
              <w:rPr>
                <w:sz w:val="22"/>
                <w:szCs w:val="22"/>
              </w:rPr>
            </w:pPr>
            <w:r>
              <w:rPr>
                <w:sz w:val="22"/>
                <w:szCs w:val="22"/>
              </w:rPr>
              <w:t xml:space="preserve">Slide 9 first </w:t>
            </w:r>
            <w:proofErr w:type="spellStart"/>
            <w:r>
              <w:rPr>
                <w:sz w:val="22"/>
                <w:szCs w:val="22"/>
              </w:rPr>
              <w:t>para</w:t>
            </w:r>
            <w:proofErr w:type="spellEnd"/>
          </w:p>
        </w:tc>
        <w:tc>
          <w:tcPr>
            <w:tcW w:w="6054" w:type="dxa"/>
          </w:tcPr>
          <w:p w14:paraId="5952DF28" w14:textId="3C951C06" w:rsidR="00D158A7" w:rsidRPr="00D158A7" w:rsidRDefault="00D158A7" w:rsidP="00D158A7">
            <w:pPr>
              <w:rPr>
                <w:bCs/>
                <w:sz w:val="22"/>
                <w:szCs w:val="22"/>
              </w:rPr>
            </w:pPr>
            <w:r w:rsidRPr="00D158A7">
              <w:rPr>
                <w:bCs/>
                <w:sz w:val="22"/>
                <w:szCs w:val="22"/>
              </w:rPr>
              <w:t xml:space="preserve">Amend </w:t>
            </w:r>
            <w:r>
              <w:rPr>
                <w:bCs/>
                <w:sz w:val="22"/>
                <w:szCs w:val="22"/>
              </w:rPr>
              <w:t>as follows:</w:t>
            </w:r>
          </w:p>
          <w:p w14:paraId="6E0B24F1" w14:textId="77777777" w:rsidR="00D158A7" w:rsidRDefault="00D158A7" w:rsidP="00D158A7">
            <w:pPr>
              <w:rPr>
                <w:b/>
                <w:bCs/>
                <w:sz w:val="22"/>
                <w:szCs w:val="22"/>
              </w:rPr>
            </w:pPr>
          </w:p>
          <w:p w14:paraId="3C8BF766" w14:textId="195AADB2" w:rsidR="00D158A7" w:rsidRPr="007C264C" w:rsidRDefault="00D158A7" w:rsidP="00D158A7">
            <w:pPr>
              <w:rPr>
                <w:bCs/>
                <w:i/>
                <w:sz w:val="22"/>
                <w:szCs w:val="22"/>
              </w:rPr>
            </w:pPr>
            <w:r w:rsidRPr="007C264C">
              <w:rPr>
                <w:bCs/>
                <w:i/>
                <w:sz w:val="22"/>
                <w:szCs w:val="22"/>
              </w:rPr>
              <w:t xml:space="preserve">“Government’s policy is to </w:t>
            </w:r>
            <w:r w:rsidRPr="007C264C">
              <w:rPr>
                <w:bCs/>
                <w:i/>
                <w:strike/>
                <w:sz w:val="22"/>
                <w:szCs w:val="22"/>
              </w:rPr>
              <w:t>attempt to</w:t>
            </w:r>
            <w:r w:rsidRPr="007C264C">
              <w:rPr>
                <w:bCs/>
                <w:i/>
                <w:sz w:val="22"/>
                <w:szCs w:val="22"/>
              </w:rPr>
              <w:t xml:space="preserve"> strike a fair balance between the negative impacts of noise (on health, amenity (quality of life) and productivity) and the positive economic impacts of flights.”</w:t>
            </w:r>
          </w:p>
          <w:p w14:paraId="07DD7133" w14:textId="77777777" w:rsidR="009F4F1D" w:rsidRPr="005D4E97" w:rsidRDefault="009F4F1D" w:rsidP="00D158A7">
            <w:pPr>
              <w:rPr>
                <w:sz w:val="22"/>
                <w:szCs w:val="22"/>
              </w:rPr>
            </w:pPr>
          </w:p>
        </w:tc>
      </w:tr>
      <w:tr w:rsidR="009F4F1D" w:rsidRPr="005D4E97" w14:paraId="30483007" w14:textId="77777777" w:rsidTr="00C5059F">
        <w:tc>
          <w:tcPr>
            <w:tcW w:w="400" w:type="dxa"/>
          </w:tcPr>
          <w:p w14:paraId="6EFF66B4" w14:textId="50B46E93" w:rsidR="009F4F1D" w:rsidRDefault="001275AB" w:rsidP="005D4E97">
            <w:pPr>
              <w:pStyle w:val="ListParagraph"/>
              <w:ind w:left="0"/>
              <w:rPr>
                <w:sz w:val="22"/>
                <w:szCs w:val="22"/>
              </w:rPr>
            </w:pPr>
            <w:proofErr w:type="gramStart"/>
            <w:r>
              <w:rPr>
                <w:sz w:val="22"/>
                <w:szCs w:val="22"/>
              </w:rPr>
              <w:t>j</w:t>
            </w:r>
            <w:proofErr w:type="gramEnd"/>
          </w:p>
        </w:tc>
        <w:tc>
          <w:tcPr>
            <w:tcW w:w="1733" w:type="dxa"/>
          </w:tcPr>
          <w:p w14:paraId="571409B1" w14:textId="1C145FE1" w:rsidR="009F4F1D" w:rsidRPr="005D4E97" w:rsidRDefault="00D158A7" w:rsidP="00D158A7">
            <w:pPr>
              <w:pStyle w:val="ListParagraph"/>
              <w:ind w:left="0"/>
              <w:rPr>
                <w:sz w:val="22"/>
                <w:szCs w:val="22"/>
              </w:rPr>
            </w:pPr>
            <w:r>
              <w:rPr>
                <w:sz w:val="22"/>
                <w:szCs w:val="22"/>
              </w:rPr>
              <w:t xml:space="preserve">Slide 9 second </w:t>
            </w:r>
            <w:proofErr w:type="spellStart"/>
            <w:r>
              <w:rPr>
                <w:sz w:val="22"/>
                <w:szCs w:val="22"/>
              </w:rPr>
              <w:t>para</w:t>
            </w:r>
            <w:proofErr w:type="spellEnd"/>
          </w:p>
        </w:tc>
        <w:tc>
          <w:tcPr>
            <w:tcW w:w="6054" w:type="dxa"/>
          </w:tcPr>
          <w:p w14:paraId="54AEFCAD" w14:textId="77777777" w:rsidR="00D158A7" w:rsidRDefault="00D158A7" w:rsidP="00D158A7">
            <w:pPr>
              <w:rPr>
                <w:sz w:val="22"/>
                <w:szCs w:val="22"/>
              </w:rPr>
            </w:pPr>
            <w:r w:rsidRPr="00D158A7">
              <w:rPr>
                <w:sz w:val="22"/>
                <w:szCs w:val="22"/>
              </w:rPr>
              <w:t>A</w:t>
            </w:r>
            <w:r>
              <w:rPr>
                <w:sz w:val="22"/>
                <w:szCs w:val="22"/>
              </w:rPr>
              <w:t xml:space="preserve">mend as follows: </w:t>
            </w:r>
          </w:p>
          <w:p w14:paraId="6A2B05F4" w14:textId="77777777" w:rsidR="00D158A7" w:rsidRDefault="00D158A7" w:rsidP="00D158A7">
            <w:pPr>
              <w:rPr>
                <w:sz w:val="22"/>
                <w:szCs w:val="22"/>
              </w:rPr>
            </w:pPr>
          </w:p>
          <w:p w14:paraId="16ECC28E" w14:textId="258150AC" w:rsidR="00D158A7" w:rsidRPr="00D158A7" w:rsidRDefault="00D158A7" w:rsidP="00D158A7">
            <w:pPr>
              <w:rPr>
                <w:i/>
                <w:sz w:val="22"/>
                <w:szCs w:val="22"/>
              </w:rPr>
            </w:pPr>
            <w:r w:rsidRPr="00D158A7">
              <w:rPr>
                <w:i/>
                <w:sz w:val="22"/>
                <w:szCs w:val="22"/>
              </w:rPr>
              <w:t>“As a general principle, the Government expects that future growth in aviation should ensure that benefits are shared between the aviation industry and local communities. This means that the industry must continue to reduce and mitigate noise as airport capacity grows</w:t>
            </w:r>
            <w:proofErr w:type="gramStart"/>
            <w:r w:rsidRPr="00D158A7">
              <w:rPr>
                <w:i/>
                <w:strike/>
                <w:sz w:val="22"/>
                <w:szCs w:val="22"/>
              </w:rPr>
              <w:t>;</w:t>
            </w:r>
            <w:r>
              <w:rPr>
                <w:i/>
                <w:sz w:val="22"/>
                <w:szCs w:val="22"/>
              </w:rPr>
              <w:t>.</w:t>
            </w:r>
            <w:proofErr w:type="gramEnd"/>
            <w:r>
              <w:rPr>
                <w:i/>
                <w:sz w:val="22"/>
                <w:szCs w:val="22"/>
              </w:rPr>
              <w:t xml:space="preserve">  </w:t>
            </w:r>
            <w:proofErr w:type="spellStart"/>
            <w:r>
              <w:rPr>
                <w:i/>
                <w:sz w:val="22"/>
                <w:szCs w:val="22"/>
              </w:rPr>
              <w:t>A</w:t>
            </w:r>
            <w:r w:rsidRPr="00D158A7">
              <w:rPr>
                <w:i/>
                <w:strike/>
                <w:sz w:val="22"/>
                <w:szCs w:val="22"/>
              </w:rPr>
              <w:t>a</w:t>
            </w:r>
            <w:r w:rsidRPr="00D158A7">
              <w:rPr>
                <w:i/>
                <w:sz w:val="22"/>
                <w:szCs w:val="22"/>
              </w:rPr>
              <w:t>s</w:t>
            </w:r>
            <w:proofErr w:type="spellEnd"/>
            <w:r w:rsidRPr="00D158A7">
              <w:rPr>
                <w:i/>
                <w:sz w:val="22"/>
                <w:szCs w:val="22"/>
              </w:rPr>
              <w:t xml:space="preserve"> noise levels fall with technological </w:t>
            </w:r>
            <w:proofErr w:type="gramStart"/>
            <w:r w:rsidRPr="00D158A7">
              <w:rPr>
                <w:i/>
                <w:sz w:val="22"/>
                <w:szCs w:val="22"/>
              </w:rPr>
              <w:t>improvements,</w:t>
            </w:r>
            <w:proofErr w:type="gramEnd"/>
            <w:r w:rsidRPr="00D158A7">
              <w:rPr>
                <w:i/>
                <w:sz w:val="22"/>
                <w:szCs w:val="22"/>
              </w:rPr>
              <w:t xml:space="preserve"> the aviation industry should be expected to share the benefits from these improvements. </w:t>
            </w:r>
          </w:p>
          <w:p w14:paraId="36C4A058" w14:textId="77777777" w:rsidR="009F4F1D" w:rsidRPr="005D4E97" w:rsidRDefault="009F4F1D" w:rsidP="005D4E97">
            <w:pPr>
              <w:pStyle w:val="ListParagraph"/>
              <w:ind w:left="0"/>
              <w:rPr>
                <w:sz w:val="22"/>
                <w:szCs w:val="22"/>
              </w:rPr>
            </w:pPr>
          </w:p>
        </w:tc>
      </w:tr>
      <w:tr w:rsidR="00A01014" w:rsidRPr="005D4E97" w14:paraId="45116CB0" w14:textId="77777777" w:rsidTr="00C5059F">
        <w:tc>
          <w:tcPr>
            <w:tcW w:w="400" w:type="dxa"/>
          </w:tcPr>
          <w:p w14:paraId="792049BA" w14:textId="49EB4CFA" w:rsidR="00A01014" w:rsidRPr="005D4E97" w:rsidRDefault="001275AB" w:rsidP="005A0FF6">
            <w:pPr>
              <w:pStyle w:val="ListParagraph"/>
              <w:ind w:left="0"/>
              <w:rPr>
                <w:sz w:val="22"/>
                <w:szCs w:val="22"/>
              </w:rPr>
            </w:pPr>
            <w:proofErr w:type="gramStart"/>
            <w:r>
              <w:rPr>
                <w:sz w:val="22"/>
                <w:szCs w:val="22"/>
              </w:rPr>
              <w:t>k</w:t>
            </w:r>
            <w:proofErr w:type="gramEnd"/>
          </w:p>
        </w:tc>
        <w:tc>
          <w:tcPr>
            <w:tcW w:w="1733" w:type="dxa"/>
          </w:tcPr>
          <w:p w14:paraId="66B96718" w14:textId="7D1E69A9" w:rsidR="00A01014" w:rsidRPr="005D4E97" w:rsidRDefault="005A0FF6" w:rsidP="005A0FF6">
            <w:pPr>
              <w:pStyle w:val="ListParagraph"/>
              <w:ind w:left="0"/>
              <w:rPr>
                <w:sz w:val="22"/>
                <w:szCs w:val="22"/>
              </w:rPr>
            </w:pPr>
            <w:r>
              <w:rPr>
                <w:sz w:val="22"/>
                <w:szCs w:val="22"/>
              </w:rPr>
              <w:t xml:space="preserve">Slide 9 </w:t>
            </w:r>
            <w:r w:rsidR="00AA39E9">
              <w:rPr>
                <w:sz w:val="22"/>
                <w:szCs w:val="22"/>
              </w:rPr>
              <w:t xml:space="preserve">third </w:t>
            </w:r>
            <w:proofErr w:type="spellStart"/>
            <w:r w:rsidR="00AA39E9">
              <w:rPr>
                <w:sz w:val="22"/>
                <w:szCs w:val="22"/>
              </w:rPr>
              <w:t>para</w:t>
            </w:r>
            <w:proofErr w:type="spellEnd"/>
          </w:p>
        </w:tc>
        <w:tc>
          <w:tcPr>
            <w:tcW w:w="6054" w:type="dxa"/>
          </w:tcPr>
          <w:p w14:paraId="62BA9DC9" w14:textId="4344C080" w:rsidR="00280C7E" w:rsidRDefault="00280C7E" w:rsidP="00AA39E9">
            <w:pPr>
              <w:rPr>
                <w:sz w:val="22"/>
                <w:szCs w:val="22"/>
              </w:rPr>
            </w:pPr>
            <w:r>
              <w:rPr>
                <w:sz w:val="22"/>
                <w:szCs w:val="22"/>
              </w:rPr>
              <w:t>We are not aware of any policy support for the assertion that “</w:t>
            </w:r>
            <w:r w:rsidR="005A0FF6" w:rsidRPr="00280C7E">
              <w:rPr>
                <w:i/>
                <w:sz w:val="22"/>
                <w:szCs w:val="22"/>
              </w:rPr>
              <w:t>policy success needs to be judged over the longer term</w:t>
            </w:r>
            <w:r>
              <w:rPr>
                <w:sz w:val="22"/>
                <w:szCs w:val="22"/>
              </w:rPr>
              <w:t>”</w:t>
            </w:r>
            <w:r w:rsidR="005A0FF6" w:rsidRPr="00AA39E9">
              <w:rPr>
                <w:sz w:val="22"/>
                <w:szCs w:val="22"/>
              </w:rPr>
              <w:t>.</w:t>
            </w:r>
            <w:r>
              <w:rPr>
                <w:sz w:val="22"/>
                <w:szCs w:val="22"/>
              </w:rPr>
              <w:t xml:space="preserve">  </w:t>
            </w:r>
            <w:r w:rsidR="005A0FF6" w:rsidRPr="00AA39E9">
              <w:rPr>
                <w:sz w:val="22"/>
                <w:szCs w:val="22"/>
              </w:rPr>
              <w:t xml:space="preserve"> </w:t>
            </w:r>
            <w:r>
              <w:rPr>
                <w:sz w:val="22"/>
                <w:szCs w:val="22"/>
              </w:rPr>
              <w:t>The document should reference any such support</w:t>
            </w:r>
            <w:r w:rsidR="00C4497F">
              <w:rPr>
                <w:sz w:val="22"/>
                <w:szCs w:val="22"/>
              </w:rPr>
              <w:t>,</w:t>
            </w:r>
            <w:r>
              <w:rPr>
                <w:sz w:val="22"/>
                <w:szCs w:val="22"/>
              </w:rPr>
              <w:t xml:space="preserve"> if it exists.  </w:t>
            </w:r>
          </w:p>
          <w:p w14:paraId="48C01E51" w14:textId="77777777" w:rsidR="00280C7E" w:rsidRDefault="00280C7E" w:rsidP="00AA39E9">
            <w:pPr>
              <w:rPr>
                <w:sz w:val="22"/>
                <w:szCs w:val="22"/>
              </w:rPr>
            </w:pPr>
          </w:p>
          <w:p w14:paraId="3F99B72E" w14:textId="77777777" w:rsidR="00C4497F" w:rsidRDefault="00592A6C" w:rsidP="00AA39E9">
            <w:pPr>
              <w:rPr>
                <w:sz w:val="22"/>
                <w:szCs w:val="22"/>
              </w:rPr>
            </w:pPr>
            <w:r>
              <w:rPr>
                <w:sz w:val="22"/>
                <w:szCs w:val="22"/>
              </w:rPr>
              <w:t xml:space="preserve">We are not aware of support for the assertion that the </w:t>
            </w:r>
            <w:r w:rsidR="005A0FF6" w:rsidRPr="00AA39E9">
              <w:rPr>
                <w:sz w:val="22"/>
                <w:szCs w:val="22"/>
              </w:rPr>
              <w:t>Aviation Industry</w:t>
            </w:r>
            <w:r>
              <w:rPr>
                <w:sz w:val="22"/>
                <w:szCs w:val="22"/>
              </w:rPr>
              <w:t>’s</w:t>
            </w:r>
            <w:r w:rsidR="005A0FF6" w:rsidRPr="00AA39E9">
              <w:rPr>
                <w:sz w:val="22"/>
                <w:szCs w:val="22"/>
              </w:rPr>
              <w:t xml:space="preserve"> tr</w:t>
            </w:r>
            <w:r>
              <w:rPr>
                <w:sz w:val="22"/>
                <w:szCs w:val="22"/>
              </w:rPr>
              <w:t xml:space="preserve">ack </w:t>
            </w:r>
            <w:proofErr w:type="gramStart"/>
            <w:r>
              <w:rPr>
                <w:sz w:val="22"/>
                <w:szCs w:val="22"/>
              </w:rPr>
              <w:t>record in improving noise</w:t>
            </w:r>
            <w:proofErr w:type="gramEnd"/>
            <w:r>
              <w:rPr>
                <w:sz w:val="22"/>
                <w:szCs w:val="22"/>
              </w:rPr>
              <w:t xml:space="preserve"> “</w:t>
            </w:r>
            <w:r w:rsidR="005A0FF6" w:rsidRPr="00592A6C">
              <w:rPr>
                <w:i/>
                <w:sz w:val="22"/>
                <w:szCs w:val="22"/>
              </w:rPr>
              <w:t>is expected to continue</w:t>
            </w:r>
            <w:r>
              <w:rPr>
                <w:sz w:val="22"/>
                <w:szCs w:val="22"/>
              </w:rPr>
              <w:t>”</w:t>
            </w:r>
            <w:r w:rsidR="005A0FF6" w:rsidRPr="00AA39E9">
              <w:rPr>
                <w:sz w:val="22"/>
                <w:szCs w:val="22"/>
              </w:rPr>
              <w:t>.</w:t>
            </w:r>
            <w:r>
              <w:rPr>
                <w:sz w:val="22"/>
                <w:szCs w:val="22"/>
              </w:rPr>
              <w:t xml:space="preserve"> </w:t>
            </w:r>
          </w:p>
          <w:p w14:paraId="55675B38" w14:textId="77777777" w:rsidR="00C4497F" w:rsidRDefault="00C4497F" w:rsidP="00AA39E9">
            <w:pPr>
              <w:rPr>
                <w:sz w:val="22"/>
                <w:szCs w:val="22"/>
              </w:rPr>
            </w:pPr>
          </w:p>
          <w:p w14:paraId="04663360" w14:textId="139AC98B" w:rsidR="005A0FF6" w:rsidRPr="00AA39E9" w:rsidRDefault="00592A6C" w:rsidP="00AA39E9">
            <w:pPr>
              <w:rPr>
                <w:sz w:val="22"/>
                <w:szCs w:val="22"/>
              </w:rPr>
            </w:pPr>
            <w:r>
              <w:rPr>
                <w:sz w:val="22"/>
                <w:szCs w:val="22"/>
              </w:rPr>
              <w:t xml:space="preserve">We note that </w:t>
            </w:r>
            <w:r w:rsidR="00E3146E">
              <w:rPr>
                <w:sz w:val="22"/>
                <w:szCs w:val="22"/>
              </w:rPr>
              <w:t xml:space="preserve">one </w:t>
            </w:r>
            <w:r w:rsidR="00552A7F">
              <w:rPr>
                <w:sz w:val="22"/>
                <w:szCs w:val="22"/>
              </w:rPr>
              <w:t xml:space="preserve">industry </w:t>
            </w:r>
            <w:r w:rsidR="00E3146E">
              <w:rPr>
                <w:sz w:val="22"/>
                <w:szCs w:val="22"/>
              </w:rPr>
              <w:t xml:space="preserve">response to GAL’s Autumn 2021 consultation </w:t>
            </w:r>
            <w:proofErr w:type="gramStart"/>
            <w:r w:rsidR="00E3146E">
              <w:rPr>
                <w:sz w:val="22"/>
                <w:szCs w:val="22"/>
              </w:rPr>
              <w:t>stated</w:t>
            </w:r>
            <w:proofErr w:type="gramEnd"/>
            <w:r w:rsidR="00E3146E">
              <w:rPr>
                <w:sz w:val="22"/>
                <w:szCs w:val="22"/>
              </w:rPr>
              <w:t xml:space="preserve"> “</w:t>
            </w:r>
            <w:r w:rsidRPr="00E3146E">
              <w:rPr>
                <w:i/>
                <w:sz w:val="22"/>
                <w:szCs w:val="22"/>
              </w:rPr>
              <w:t xml:space="preserve">it is </w:t>
            </w:r>
            <w:r w:rsidR="00E3146E">
              <w:rPr>
                <w:i/>
                <w:sz w:val="22"/>
                <w:szCs w:val="22"/>
              </w:rPr>
              <w:t>…</w:t>
            </w:r>
            <w:r w:rsidRPr="00E3146E">
              <w:rPr>
                <w:i/>
                <w:sz w:val="22"/>
                <w:szCs w:val="22"/>
              </w:rPr>
              <w:t xml:space="preserve"> quite likely that in order to deliver significant aircraft efficiency improvements in the future, that aircraft noise may have to increase</w:t>
            </w:r>
            <w:r w:rsidR="00E3146E">
              <w:rPr>
                <w:sz w:val="22"/>
                <w:szCs w:val="22"/>
              </w:rPr>
              <w:t xml:space="preserve">”.  </w:t>
            </w:r>
          </w:p>
          <w:p w14:paraId="71B4EDBD" w14:textId="77777777" w:rsidR="00A01014" w:rsidRPr="005D4E97" w:rsidRDefault="00A01014" w:rsidP="005A0FF6">
            <w:pPr>
              <w:pStyle w:val="ListParagraph"/>
              <w:ind w:left="0"/>
              <w:rPr>
                <w:sz w:val="22"/>
                <w:szCs w:val="22"/>
              </w:rPr>
            </w:pPr>
          </w:p>
        </w:tc>
      </w:tr>
      <w:tr w:rsidR="0047057C" w:rsidRPr="005D4E97" w14:paraId="67B5CA76" w14:textId="77777777" w:rsidTr="00C5059F">
        <w:tc>
          <w:tcPr>
            <w:tcW w:w="400" w:type="dxa"/>
          </w:tcPr>
          <w:p w14:paraId="29D06CBC" w14:textId="62F4FFEA" w:rsidR="0047057C" w:rsidRDefault="001275AB" w:rsidP="005A0FF6">
            <w:pPr>
              <w:pStyle w:val="ListParagraph"/>
              <w:ind w:left="0"/>
              <w:rPr>
                <w:sz w:val="22"/>
                <w:szCs w:val="22"/>
              </w:rPr>
            </w:pPr>
            <w:proofErr w:type="gramStart"/>
            <w:r>
              <w:rPr>
                <w:sz w:val="22"/>
                <w:szCs w:val="22"/>
              </w:rPr>
              <w:t>l</w:t>
            </w:r>
            <w:proofErr w:type="gramEnd"/>
          </w:p>
        </w:tc>
        <w:tc>
          <w:tcPr>
            <w:tcW w:w="1733" w:type="dxa"/>
          </w:tcPr>
          <w:p w14:paraId="3BE825F7" w14:textId="5D320F87" w:rsidR="0047057C" w:rsidRDefault="0047057C" w:rsidP="005A0FF6">
            <w:pPr>
              <w:pStyle w:val="ListParagraph"/>
              <w:ind w:left="0"/>
              <w:rPr>
                <w:sz w:val="22"/>
                <w:szCs w:val="22"/>
              </w:rPr>
            </w:pPr>
            <w:r>
              <w:rPr>
                <w:sz w:val="22"/>
                <w:szCs w:val="22"/>
              </w:rPr>
              <w:t xml:space="preserve">Slide 10 first </w:t>
            </w:r>
            <w:proofErr w:type="spellStart"/>
            <w:r>
              <w:rPr>
                <w:sz w:val="22"/>
                <w:szCs w:val="22"/>
              </w:rPr>
              <w:t>para</w:t>
            </w:r>
            <w:proofErr w:type="spellEnd"/>
          </w:p>
        </w:tc>
        <w:tc>
          <w:tcPr>
            <w:tcW w:w="6054" w:type="dxa"/>
          </w:tcPr>
          <w:p w14:paraId="05A36075" w14:textId="187DFC05" w:rsidR="0047057C" w:rsidRDefault="0047057C" w:rsidP="008267D0">
            <w:pPr>
              <w:pStyle w:val="ListParagraph"/>
              <w:ind w:left="0"/>
              <w:rPr>
                <w:sz w:val="22"/>
                <w:szCs w:val="22"/>
              </w:rPr>
            </w:pPr>
            <w:r>
              <w:rPr>
                <w:sz w:val="22"/>
                <w:szCs w:val="22"/>
              </w:rPr>
              <w:t>Amend as follows:</w:t>
            </w:r>
          </w:p>
          <w:p w14:paraId="1C0AE9E3" w14:textId="77777777" w:rsidR="0047057C" w:rsidRDefault="0047057C" w:rsidP="008267D0">
            <w:pPr>
              <w:pStyle w:val="ListParagraph"/>
              <w:ind w:left="0"/>
              <w:rPr>
                <w:sz w:val="22"/>
                <w:szCs w:val="22"/>
              </w:rPr>
            </w:pPr>
          </w:p>
          <w:p w14:paraId="69BB5C1D" w14:textId="27D65D4B" w:rsidR="0047057C" w:rsidRPr="0047057C" w:rsidRDefault="0047057C" w:rsidP="008267D0">
            <w:pPr>
              <w:pStyle w:val="ListParagraph"/>
              <w:ind w:left="0"/>
              <w:rPr>
                <w:i/>
                <w:sz w:val="22"/>
                <w:szCs w:val="22"/>
              </w:rPr>
            </w:pPr>
            <w:r w:rsidRPr="0047057C">
              <w:rPr>
                <w:i/>
                <w:sz w:val="22"/>
                <w:szCs w:val="22"/>
              </w:rPr>
              <w:t xml:space="preserve">“This results in a noticeably smaller </w:t>
            </w:r>
            <w:proofErr w:type="spellStart"/>
            <w:r w:rsidRPr="0047057C">
              <w:rPr>
                <w:i/>
                <w:sz w:val="22"/>
                <w:szCs w:val="22"/>
              </w:rPr>
              <w:t>Leq</w:t>
            </w:r>
            <w:proofErr w:type="spellEnd"/>
            <w:r w:rsidRPr="0047057C">
              <w:rPr>
                <w:i/>
                <w:sz w:val="22"/>
                <w:szCs w:val="22"/>
              </w:rPr>
              <w:t xml:space="preserve"> noise footprint on the ground.  However, it is generally accepted that a 3dB </w:t>
            </w:r>
            <w:r w:rsidRPr="0047057C">
              <w:rPr>
                <w:i/>
                <w:sz w:val="22"/>
                <w:szCs w:val="22"/>
                <w:lang w:val="en-GB"/>
              </w:rPr>
              <w:t xml:space="preserve">reduction in noise would </w:t>
            </w:r>
            <w:r>
              <w:rPr>
                <w:i/>
                <w:sz w:val="22"/>
                <w:szCs w:val="22"/>
                <w:lang w:val="en-GB"/>
              </w:rPr>
              <w:t xml:space="preserve">be </w:t>
            </w:r>
            <w:r w:rsidRPr="0047057C">
              <w:rPr>
                <w:i/>
                <w:sz w:val="22"/>
                <w:szCs w:val="22"/>
                <w:lang w:val="en-GB"/>
              </w:rPr>
              <w:t xml:space="preserve">barely perceptible </w:t>
            </w:r>
            <w:r>
              <w:rPr>
                <w:i/>
                <w:sz w:val="22"/>
                <w:szCs w:val="22"/>
                <w:lang w:val="en-GB"/>
              </w:rPr>
              <w:t xml:space="preserve">to people overflown </w:t>
            </w:r>
            <w:r w:rsidRPr="0047057C">
              <w:rPr>
                <w:i/>
                <w:sz w:val="22"/>
                <w:szCs w:val="22"/>
                <w:lang w:val="en-GB"/>
              </w:rPr>
              <w:t xml:space="preserve">as a change of 3dB is the minimum perceptible </w:t>
            </w:r>
            <w:r>
              <w:rPr>
                <w:i/>
                <w:sz w:val="22"/>
                <w:szCs w:val="22"/>
                <w:lang w:val="en-GB"/>
              </w:rPr>
              <w:t xml:space="preserve">to humans </w:t>
            </w:r>
            <w:r w:rsidRPr="0047057C">
              <w:rPr>
                <w:i/>
                <w:sz w:val="22"/>
                <w:szCs w:val="22"/>
                <w:lang w:val="en-GB"/>
              </w:rPr>
              <w:t>under normal conditions.”</w:t>
            </w:r>
          </w:p>
          <w:p w14:paraId="54053B03" w14:textId="67B81502" w:rsidR="0047057C" w:rsidRDefault="0047057C" w:rsidP="008267D0">
            <w:pPr>
              <w:pStyle w:val="ListParagraph"/>
              <w:ind w:left="0"/>
              <w:rPr>
                <w:sz w:val="22"/>
                <w:szCs w:val="22"/>
              </w:rPr>
            </w:pPr>
          </w:p>
        </w:tc>
      </w:tr>
      <w:tr w:rsidR="00A01014" w:rsidRPr="005D4E97" w14:paraId="77952AA9" w14:textId="77777777" w:rsidTr="00C5059F">
        <w:tc>
          <w:tcPr>
            <w:tcW w:w="400" w:type="dxa"/>
          </w:tcPr>
          <w:p w14:paraId="48836DAF" w14:textId="6EA27077" w:rsidR="00A01014" w:rsidRDefault="001275AB" w:rsidP="005A0FF6">
            <w:pPr>
              <w:pStyle w:val="ListParagraph"/>
              <w:ind w:left="0"/>
              <w:rPr>
                <w:sz w:val="22"/>
                <w:szCs w:val="22"/>
              </w:rPr>
            </w:pPr>
            <w:proofErr w:type="gramStart"/>
            <w:r>
              <w:rPr>
                <w:sz w:val="22"/>
                <w:szCs w:val="22"/>
              </w:rPr>
              <w:t>m</w:t>
            </w:r>
            <w:proofErr w:type="gramEnd"/>
          </w:p>
        </w:tc>
        <w:tc>
          <w:tcPr>
            <w:tcW w:w="1733" w:type="dxa"/>
          </w:tcPr>
          <w:p w14:paraId="7513B2EE" w14:textId="563B0AAA" w:rsidR="00A01014" w:rsidRPr="005D4E97" w:rsidRDefault="008267D0" w:rsidP="005A0FF6">
            <w:pPr>
              <w:pStyle w:val="ListParagraph"/>
              <w:ind w:left="0"/>
              <w:rPr>
                <w:sz w:val="22"/>
                <w:szCs w:val="22"/>
              </w:rPr>
            </w:pPr>
            <w:r>
              <w:rPr>
                <w:sz w:val="22"/>
                <w:szCs w:val="22"/>
              </w:rPr>
              <w:t>Slide 11</w:t>
            </w:r>
          </w:p>
        </w:tc>
        <w:tc>
          <w:tcPr>
            <w:tcW w:w="6054" w:type="dxa"/>
          </w:tcPr>
          <w:p w14:paraId="422EE932" w14:textId="77777777" w:rsidR="00A01014" w:rsidRDefault="008267D0" w:rsidP="008267D0">
            <w:pPr>
              <w:pStyle w:val="ListParagraph"/>
              <w:ind w:left="0"/>
              <w:rPr>
                <w:sz w:val="22"/>
                <w:szCs w:val="22"/>
              </w:rPr>
            </w:pPr>
            <w:r>
              <w:rPr>
                <w:sz w:val="22"/>
                <w:szCs w:val="22"/>
              </w:rPr>
              <w:t xml:space="preserve">For the avoidance of doubt we do not support the noise objective set out on this slide.   </w:t>
            </w:r>
          </w:p>
          <w:p w14:paraId="533D65E8" w14:textId="77777777" w:rsidR="001E48AA" w:rsidRDefault="001E48AA" w:rsidP="008267D0">
            <w:pPr>
              <w:pStyle w:val="ListParagraph"/>
              <w:ind w:left="0"/>
              <w:rPr>
                <w:sz w:val="22"/>
                <w:szCs w:val="22"/>
              </w:rPr>
            </w:pPr>
          </w:p>
          <w:p w14:paraId="39A953D7" w14:textId="447AA4F4" w:rsidR="001E48AA" w:rsidRDefault="001E48AA" w:rsidP="001E48AA">
            <w:pPr>
              <w:rPr>
                <w:sz w:val="22"/>
                <w:szCs w:val="22"/>
                <w:lang w:val="en-GB"/>
              </w:rPr>
            </w:pPr>
            <w:r>
              <w:rPr>
                <w:sz w:val="22"/>
                <w:szCs w:val="22"/>
                <w:lang w:val="en-GB"/>
              </w:rPr>
              <w:t>The report should record community groups</w:t>
            </w:r>
            <w:r w:rsidR="00E06E01">
              <w:rPr>
                <w:sz w:val="22"/>
                <w:szCs w:val="22"/>
                <w:lang w:val="en-GB"/>
              </w:rPr>
              <w:t>’</w:t>
            </w:r>
            <w:r>
              <w:rPr>
                <w:sz w:val="22"/>
                <w:szCs w:val="22"/>
                <w:lang w:val="en-GB"/>
              </w:rPr>
              <w:t xml:space="preserve"> views that </w:t>
            </w:r>
            <w:r w:rsidRPr="001E48AA">
              <w:rPr>
                <w:sz w:val="22"/>
                <w:szCs w:val="22"/>
                <w:lang w:val="en-GB"/>
              </w:rPr>
              <w:t>GAL’s proposed regulation 598 objective cherry picks government policy</w:t>
            </w:r>
            <w:r>
              <w:rPr>
                <w:sz w:val="22"/>
                <w:szCs w:val="22"/>
                <w:lang w:val="en-GB"/>
              </w:rPr>
              <w:t xml:space="preserve"> by</w:t>
            </w:r>
            <w:r w:rsidRPr="001E48AA">
              <w:rPr>
                <w:sz w:val="22"/>
                <w:szCs w:val="22"/>
                <w:lang w:val="en-GB"/>
              </w:rPr>
              <w:t>:</w:t>
            </w:r>
          </w:p>
          <w:p w14:paraId="194F3BE5" w14:textId="77777777" w:rsidR="001E48AA" w:rsidRPr="001E48AA" w:rsidRDefault="001E48AA" w:rsidP="001E48AA">
            <w:pPr>
              <w:rPr>
                <w:sz w:val="22"/>
                <w:szCs w:val="22"/>
                <w:lang w:val="en-GB"/>
              </w:rPr>
            </w:pPr>
          </w:p>
          <w:p w14:paraId="300233C7" w14:textId="3016EBAD" w:rsidR="00E06E01" w:rsidRPr="001E48AA" w:rsidRDefault="00E06E01" w:rsidP="001E48AA">
            <w:pPr>
              <w:pStyle w:val="ListParagraph"/>
              <w:numPr>
                <w:ilvl w:val="0"/>
                <w:numId w:val="6"/>
              </w:numPr>
              <w:rPr>
                <w:sz w:val="22"/>
                <w:szCs w:val="22"/>
                <w:lang w:val="en-GB"/>
              </w:rPr>
            </w:pPr>
            <w:proofErr w:type="gramStart"/>
            <w:r w:rsidRPr="001E48AA">
              <w:rPr>
                <w:sz w:val="22"/>
                <w:szCs w:val="22"/>
                <w:lang w:val="en-GB"/>
              </w:rPr>
              <w:t>omit</w:t>
            </w:r>
            <w:r>
              <w:rPr>
                <w:sz w:val="22"/>
                <w:szCs w:val="22"/>
                <w:lang w:val="en-GB"/>
              </w:rPr>
              <w:t>t</w:t>
            </w:r>
            <w:r w:rsidR="001E48AA">
              <w:rPr>
                <w:sz w:val="22"/>
                <w:szCs w:val="22"/>
                <w:lang w:val="en-GB"/>
              </w:rPr>
              <w:t>ing</w:t>
            </w:r>
            <w:proofErr w:type="gramEnd"/>
            <w:r w:rsidRPr="001E48AA">
              <w:rPr>
                <w:sz w:val="22"/>
                <w:szCs w:val="22"/>
                <w:lang w:val="en-GB"/>
              </w:rPr>
              <w:t xml:space="preserve"> the policy requirement to reduce noise as airport capacity grows</w:t>
            </w:r>
          </w:p>
          <w:p w14:paraId="5F891682" w14:textId="49BE2589" w:rsidR="00E06E01" w:rsidRPr="001E48AA" w:rsidRDefault="00E06E01" w:rsidP="001E48AA">
            <w:pPr>
              <w:pStyle w:val="ListParagraph"/>
              <w:numPr>
                <w:ilvl w:val="0"/>
                <w:numId w:val="6"/>
              </w:numPr>
              <w:rPr>
                <w:sz w:val="22"/>
                <w:szCs w:val="22"/>
                <w:lang w:val="en-GB"/>
              </w:rPr>
            </w:pPr>
            <w:proofErr w:type="gramStart"/>
            <w:r>
              <w:rPr>
                <w:sz w:val="22"/>
                <w:szCs w:val="22"/>
                <w:lang w:val="en-GB"/>
              </w:rPr>
              <w:t>omitting</w:t>
            </w:r>
            <w:proofErr w:type="gramEnd"/>
            <w:r>
              <w:rPr>
                <w:sz w:val="22"/>
                <w:szCs w:val="22"/>
                <w:lang w:val="en-GB"/>
              </w:rPr>
              <w:t xml:space="preserve"> the policy requirement for </w:t>
            </w:r>
            <w:r w:rsidRPr="001E48AA">
              <w:rPr>
                <w:sz w:val="22"/>
                <w:szCs w:val="22"/>
                <w:lang w:val="en-GB"/>
              </w:rPr>
              <w:t xml:space="preserve">the benefits of growth to </w:t>
            </w:r>
            <w:r>
              <w:rPr>
                <w:sz w:val="22"/>
                <w:szCs w:val="22"/>
                <w:lang w:val="en-GB"/>
              </w:rPr>
              <w:t xml:space="preserve">be </w:t>
            </w:r>
            <w:r w:rsidRPr="001E48AA">
              <w:rPr>
                <w:sz w:val="22"/>
                <w:szCs w:val="22"/>
                <w:lang w:val="en-GB"/>
              </w:rPr>
              <w:t xml:space="preserve">shared </w:t>
            </w:r>
          </w:p>
          <w:p w14:paraId="2931626D" w14:textId="61C8B8F1" w:rsidR="00E06E01" w:rsidRPr="001E48AA" w:rsidRDefault="001672EC" w:rsidP="001E48AA">
            <w:pPr>
              <w:pStyle w:val="ListParagraph"/>
              <w:numPr>
                <w:ilvl w:val="0"/>
                <w:numId w:val="6"/>
              </w:numPr>
              <w:rPr>
                <w:sz w:val="22"/>
                <w:szCs w:val="22"/>
                <w:lang w:val="en-GB"/>
              </w:rPr>
            </w:pPr>
            <w:proofErr w:type="gramStart"/>
            <w:r>
              <w:rPr>
                <w:sz w:val="22"/>
                <w:szCs w:val="22"/>
                <w:lang w:val="en-GB"/>
              </w:rPr>
              <w:t>omitting</w:t>
            </w:r>
            <w:proofErr w:type="gramEnd"/>
            <w:r>
              <w:rPr>
                <w:sz w:val="22"/>
                <w:szCs w:val="22"/>
                <w:lang w:val="en-GB"/>
              </w:rPr>
              <w:t xml:space="preserve"> the policy requirement that the </w:t>
            </w:r>
            <w:r w:rsidR="00E06E01" w:rsidRPr="001E48AA">
              <w:rPr>
                <w:sz w:val="22"/>
                <w:szCs w:val="22"/>
                <w:lang w:val="en-GB"/>
              </w:rPr>
              <w:t xml:space="preserve">total adverse effects on health and quality of life from aviation noise </w:t>
            </w:r>
            <w:r>
              <w:rPr>
                <w:sz w:val="22"/>
                <w:szCs w:val="22"/>
                <w:lang w:val="en-GB"/>
              </w:rPr>
              <w:t xml:space="preserve">should be limited and where possible </w:t>
            </w:r>
            <w:r w:rsidR="00E06E01" w:rsidRPr="001E48AA">
              <w:rPr>
                <w:sz w:val="22"/>
                <w:szCs w:val="22"/>
                <w:lang w:val="en-GB"/>
              </w:rPr>
              <w:t xml:space="preserve">reduce. </w:t>
            </w:r>
          </w:p>
          <w:p w14:paraId="166F8198" w14:textId="77777777" w:rsidR="00B24CA2" w:rsidRDefault="00B24CA2" w:rsidP="001E48AA">
            <w:pPr>
              <w:pStyle w:val="ListParagraph"/>
              <w:rPr>
                <w:sz w:val="22"/>
                <w:szCs w:val="22"/>
                <w:lang w:val="en-GB"/>
              </w:rPr>
            </w:pPr>
          </w:p>
          <w:p w14:paraId="6699CA55" w14:textId="32A863AE" w:rsidR="001E48AA" w:rsidRPr="00B24CA2" w:rsidRDefault="001672EC" w:rsidP="00B24CA2">
            <w:pPr>
              <w:rPr>
                <w:sz w:val="22"/>
                <w:szCs w:val="22"/>
                <w:lang w:val="en-GB"/>
              </w:rPr>
            </w:pPr>
            <w:r>
              <w:rPr>
                <w:sz w:val="22"/>
                <w:szCs w:val="22"/>
                <w:lang w:val="en-GB"/>
              </w:rPr>
              <w:t>And that t</w:t>
            </w:r>
            <w:r w:rsidR="001E48AA" w:rsidRPr="00B24CA2">
              <w:rPr>
                <w:sz w:val="22"/>
                <w:szCs w:val="22"/>
                <w:lang w:val="en-GB"/>
              </w:rPr>
              <w:t xml:space="preserve">he objective is </w:t>
            </w:r>
            <w:r>
              <w:rPr>
                <w:sz w:val="22"/>
                <w:szCs w:val="22"/>
                <w:lang w:val="en-GB"/>
              </w:rPr>
              <w:t xml:space="preserve">therefore </w:t>
            </w:r>
            <w:r w:rsidR="001E48AA" w:rsidRPr="00B24CA2">
              <w:rPr>
                <w:sz w:val="22"/>
                <w:szCs w:val="22"/>
                <w:lang w:val="en-GB"/>
              </w:rPr>
              <w:t xml:space="preserve">inappropriate and needs substantial amendment.  </w:t>
            </w:r>
          </w:p>
          <w:p w14:paraId="0FC444EE" w14:textId="2D1C6C61" w:rsidR="00EA3B8D" w:rsidRPr="005D4E97" w:rsidRDefault="00EA3B8D" w:rsidP="008267D0">
            <w:pPr>
              <w:pStyle w:val="ListParagraph"/>
              <w:ind w:left="0"/>
              <w:rPr>
                <w:sz w:val="22"/>
                <w:szCs w:val="22"/>
              </w:rPr>
            </w:pPr>
          </w:p>
        </w:tc>
      </w:tr>
      <w:tr w:rsidR="00F563D3" w:rsidRPr="005D4E97" w14:paraId="1B56D6DC" w14:textId="77777777" w:rsidTr="00C5059F">
        <w:tc>
          <w:tcPr>
            <w:tcW w:w="400" w:type="dxa"/>
          </w:tcPr>
          <w:p w14:paraId="6199EE30" w14:textId="68C16729" w:rsidR="00F563D3" w:rsidRDefault="001275AB" w:rsidP="005A0FF6">
            <w:pPr>
              <w:pStyle w:val="ListParagraph"/>
              <w:ind w:left="0"/>
              <w:rPr>
                <w:sz w:val="22"/>
                <w:szCs w:val="22"/>
              </w:rPr>
            </w:pPr>
            <w:proofErr w:type="gramStart"/>
            <w:r>
              <w:rPr>
                <w:sz w:val="22"/>
                <w:szCs w:val="22"/>
              </w:rPr>
              <w:t>n</w:t>
            </w:r>
            <w:proofErr w:type="gramEnd"/>
          </w:p>
        </w:tc>
        <w:tc>
          <w:tcPr>
            <w:tcW w:w="1733" w:type="dxa"/>
          </w:tcPr>
          <w:p w14:paraId="69538698" w14:textId="6D7D7861" w:rsidR="00F563D3" w:rsidRDefault="00F563D3" w:rsidP="005A0FF6">
            <w:pPr>
              <w:pStyle w:val="ListParagraph"/>
              <w:ind w:left="0"/>
              <w:rPr>
                <w:sz w:val="22"/>
                <w:szCs w:val="22"/>
              </w:rPr>
            </w:pPr>
            <w:r>
              <w:rPr>
                <w:sz w:val="22"/>
                <w:szCs w:val="22"/>
              </w:rPr>
              <w:t xml:space="preserve">Slide 13 </w:t>
            </w:r>
            <w:proofErr w:type="spellStart"/>
            <w:r>
              <w:rPr>
                <w:sz w:val="22"/>
                <w:szCs w:val="22"/>
              </w:rPr>
              <w:t>para</w:t>
            </w:r>
            <w:proofErr w:type="spellEnd"/>
            <w:r>
              <w:rPr>
                <w:sz w:val="22"/>
                <w:szCs w:val="22"/>
              </w:rPr>
              <w:t xml:space="preserve"> 1</w:t>
            </w:r>
          </w:p>
        </w:tc>
        <w:tc>
          <w:tcPr>
            <w:tcW w:w="6054" w:type="dxa"/>
          </w:tcPr>
          <w:p w14:paraId="0E2E9D5D" w14:textId="23F52A95" w:rsidR="00F563D3" w:rsidRDefault="00F563D3" w:rsidP="00F563D3">
            <w:pPr>
              <w:rPr>
                <w:sz w:val="22"/>
                <w:szCs w:val="22"/>
                <w:lang w:val="en-GB"/>
              </w:rPr>
            </w:pPr>
            <w:r>
              <w:rPr>
                <w:sz w:val="22"/>
                <w:szCs w:val="22"/>
                <w:lang w:val="en-GB"/>
              </w:rPr>
              <w:t xml:space="preserve">We do not agree that </w:t>
            </w:r>
            <w:r w:rsidRPr="00F563D3">
              <w:rPr>
                <w:sz w:val="22"/>
                <w:szCs w:val="22"/>
              </w:rPr>
              <w:t>the noise envelope within t</w:t>
            </w:r>
            <w:r>
              <w:rPr>
                <w:sz w:val="22"/>
                <w:szCs w:val="22"/>
              </w:rPr>
              <w:t>he PEIR was an outline proposal.  The PEIR does not describe GAL’s proposal as “</w:t>
            </w:r>
            <w:r w:rsidRPr="0032642E">
              <w:rPr>
                <w:i/>
                <w:sz w:val="22"/>
                <w:szCs w:val="22"/>
              </w:rPr>
              <w:t>outline</w:t>
            </w:r>
            <w:r>
              <w:rPr>
                <w:sz w:val="22"/>
                <w:szCs w:val="22"/>
              </w:rPr>
              <w:t xml:space="preserve">”.  </w:t>
            </w:r>
          </w:p>
          <w:p w14:paraId="445F6948" w14:textId="77777777" w:rsidR="00F563D3" w:rsidRDefault="00F563D3" w:rsidP="00F563D3">
            <w:pPr>
              <w:rPr>
                <w:sz w:val="22"/>
                <w:szCs w:val="22"/>
              </w:rPr>
            </w:pPr>
          </w:p>
        </w:tc>
      </w:tr>
      <w:tr w:rsidR="00A01014" w:rsidRPr="005D4E97" w14:paraId="7C952367" w14:textId="77777777" w:rsidTr="00C5059F">
        <w:tc>
          <w:tcPr>
            <w:tcW w:w="400" w:type="dxa"/>
          </w:tcPr>
          <w:p w14:paraId="30928B2F" w14:textId="26FE0812" w:rsidR="00A01014" w:rsidRPr="005D4E97" w:rsidRDefault="001275AB" w:rsidP="005A0FF6">
            <w:pPr>
              <w:pStyle w:val="ListParagraph"/>
              <w:ind w:left="0"/>
              <w:rPr>
                <w:sz w:val="22"/>
                <w:szCs w:val="22"/>
              </w:rPr>
            </w:pPr>
            <w:proofErr w:type="gramStart"/>
            <w:r>
              <w:rPr>
                <w:sz w:val="22"/>
                <w:szCs w:val="22"/>
              </w:rPr>
              <w:t>o</w:t>
            </w:r>
            <w:proofErr w:type="gramEnd"/>
          </w:p>
        </w:tc>
        <w:tc>
          <w:tcPr>
            <w:tcW w:w="1733" w:type="dxa"/>
          </w:tcPr>
          <w:p w14:paraId="00F2523C" w14:textId="62E66DF3" w:rsidR="00A01014" w:rsidRPr="005D4E97" w:rsidRDefault="008803E7" w:rsidP="005A0FF6">
            <w:pPr>
              <w:pStyle w:val="ListParagraph"/>
              <w:ind w:left="0"/>
              <w:rPr>
                <w:sz w:val="22"/>
                <w:szCs w:val="22"/>
              </w:rPr>
            </w:pPr>
            <w:r>
              <w:rPr>
                <w:sz w:val="22"/>
                <w:szCs w:val="22"/>
              </w:rPr>
              <w:t xml:space="preserve">Slide 15 </w:t>
            </w:r>
            <w:proofErr w:type="spellStart"/>
            <w:r>
              <w:rPr>
                <w:sz w:val="22"/>
                <w:szCs w:val="22"/>
              </w:rPr>
              <w:t>para</w:t>
            </w:r>
            <w:proofErr w:type="spellEnd"/>
            <w:r>
              <w:rPr>
                <w:sz w:val="22"/>
                <w:szCs w:val="22"/>
              </w:rPr>
              <w:t xml:space="preserve"> 1</w:t>
            </w:r>
          </w:p>
        </w:tc>
        <w:tc>
          <w:tcPr>
            <w:tcW w:w="6054" w:type="dxa"/>
          </w:tcPr>
          <w:p w14:paraId="1CB50DDD" w14:textId="52D512C1" w:rsidR="00A01014" w:rsidRDefault="008803E7" w:rsidP="005A0FF6">
            <w:pPr>
              <w:pStyle w:val="ListParagraph"/>
              <w:ind w:left="0"/>
              <w:rPr>
                <w:sz w:val="22"/>
                <w:szCs w:val="22"/>
              </w:rPr>
            </w:pPr>
            <w:r>
              <w:rPr>
                <w:sz w:val="22"/>
                <w:szCs w:val="22"/>
              </w:rPr>
              <w:t xml:space="preserve">The </w:t>
            </w:r>
            <w:r w:rsidR="001E48AA">
              <w:rPr>
                <w:sz w:val="22"/>
                <w:szCs w:val="22"/>
              </w:rPr>
              <w:t>report</w:t>
            </w:r>
            <w:r>
              <w:rPr>
                <w:sz w:val="22"/>
                <w:szCs w:val="22"/>
              </w:rPr>
              <w:t xml:space="preserve"> should report the proportion of consultation respondents who supported GAL’s noise envelope proposals.  </w:t>
            </w:r>
          </w:p>
          <w:p w14:paraId="6B497833" w14:textId="3853CEF6" w:rsidR="00EA3B8D" w:rsidRPr="005D4E97" w:rsidRDefault="00EA3B8D" w:rsidP="005A0FF6">
            <w:pPr>
              <w:pStyle w:val="ListParagraph"/>
              <w:ind w:left="0"/>
              <w:rPr>
                <w:sz w:val="22"/>
                <w:szCs w:val="22"/>
              </w:rPr>
            </w:pPr>
          </w:p>
        </w:tc>
      </w:tr>
      <w:tr w:rsidR="00A01014" w:rsidRPr="005D4E97" w14:paraId="5DF23FD2" w14:textId="77777777" w:rsidTr="00C5059F">
        <w:tc>
          <w:tcPr>
            <w:tcW w:w="400" w:type="dxa"/>
          </w:tcPr>
          <w:p w14:paraId="0B98CA78" w14:textId="5DDA5672" w:rsidR="00A01014" w:rsidRDefault="001275AB" w:rsidP="005D4E97">
            <w:pPr>
              <w:pStyle w:val="ListParagraph"/>
              <w:ind w:left="0"/>
              <w:rPr>
                <w:sz w:val="22"/>
                <w:szCs w:val="22"/>
              </w:rPr>
            </w:pPr>
            <w:proofErr w:type="gramStart"/>
            <w:r>
              <w:rPr>
                <w:sz w:val="22"/>
                <w:szCs w:val="22"/>
              </w:rPr>
              <w:t>p</w:t>
            </w:r>
            <w:proofErr w:type="gramEnd"/>
          </w:p>
        </w:tc>
        <w:tc>
          <w:tcPr>
            <w:tcW w:w="1733" w:type="dxa"/>
          </w:tcPr>
          <w:p w14:paraId="7F9C1E4A" w14:textId="562E3CAF" w:rsidR="00A01014" w:rsidRPr="005D4E97" w:rsidRDefault="00E646C9" w:rsidP="005D4E97">
            <w:pPr>
              <w:pStyle w:val="ListParagraph"/>
              <w:ind w:left="0"/>
              <w:rPr>
                <w:sz w:val="22"/>
                <w:szCs w:val="22"/>
              </w:rPr>
            </w:pPr>
            <w:r>
              <w:rPr>
                <w:sz w:val="22"/>
                <w:szCs w:val="22"/>
              </w:rPr>
              <w:t xml:space="preserve">Slide 15 </w:t>
            </w:r>
            <w:proofErr w:type="spellStart"/>
            <w:r>
              <w:rPr>
                <w:sz w:val="22"/>
                <w:szCs w:val="22"/>
              </w:rPr>
              <w:t>para</w:t>
            </w:r>
            <w:proofErr w:type="spellEnd"/>
            <w:r>
              <w:rPr>
                <w:sz w:val="22"/>
                <w:szCs w:val="22"/>
              </w:rPr>
              <w:t xml:space="preserve"> 2</w:t>
            </w:r>
          </w:p>
        </w:tc>
        <w:tc>
          <w:tcPr>
            <w:tcW w:w="6054" w:type="dxa"/>
          </w:tcPr>
          <w:p w14:paraId="60AF1F38" w14:textId="77777777" w:rsidR="00E646C9" w:rsidRDefault="00E646C9" w:rsidP="00E646C9">
            <w:pPr>
              <w:rPr>
                <w:sz w:val="22"/>
                <w:szCs w:val="22"/>
              </w:rPr>
            </w:pPr>
            <w:r>
              <w:rPr>
                <w:sz w:val="22"/>
                <w:szCs w:val="22"/>
              </w:rPr>
              <w:t>Amend as follows:</w:t>
            </w:r>
          </w:p>
          <w:p w14:paraId="711C0ECF" w14:textId="77777777" w:rsidR="00E646C9" w:rsidRDefault="00E646C9" w:rsidP="00E646C9">
            <w:pPr>
              <w:rPr>
                <w:sz w:val="22"/>
                <w:szCs w:val="22"/>
              </w:rPr>
            </w:pPr>
          </w:p>
          <w:p w14:paraId="571B4746" w14:textId="27289760" w:rsidR="00E646C9" w:rsidRPr="00E646C9" w:rsidRDefault="00E646C9" w:rsidP="00E646C9">
            <w:pPr>
              <w:rPr>
                <w:i/>
                <w:sz w:val="22"/>
                <w:szCs w:val="22"/>
              </w:rPr>
            </w:pPr>
            <w:r w:rsidRPr="00E646C9">
              <w:rPr>
                <w:i/>
                <w:sz w:val="22"/>
                <w:szCs w:val="22"/>
              </w:rPr>
              <w:t xml:space="preserve">“The </w:t>
            </w:r>
            <w:r w:rsidRPr="00E646C9">
              <w:rPr>
                <w:i/>
                <w:strike/>
                <w:sz w:val="22"/>
                <w:szCs w:val="22"/>
              </w:rPr>
              <w:t>GACC</w:t>
            </w:r>
            <w:r>
              <w:rPr>
                <w:i/>
                <w:sz w:val="22"/>
                <w:szCs w:val="22"/>
              </w:rPr>
              <w:t xml:space="preserve"> community groups</w:t>
            </w:r>
            <w:r w:rsidR="00C5059F">
              <w:rPr>
                <w:i/>
                <w:sz w:val="22"/>
                <w:szCs w:val="22"/>
              </w:rPr>
              <w:t xml:space="preserve"> paper noted “</w:t>
            </w:r>
            <w:r w:rsidRPr="00E646C9">
              <w:rPr>
                <w:i/>
                <w:sz w:val="22"/>
                <w:szCs w:val="22"/>
              </w:rPr>
              <w:t xml:space="preserve">a noise envelope should comprise, or be derived from, multiple metrics and limits rather than a single metric, in line with CAA guidance”. </w:t>
            </w:r>
          </w:p>
          <w:p w14:paraId="23430A63" w14:textId="77777777" w:rsidR="00A01014" w:rsidRPr="005D4E97" w:rsidRDefault="00A01014" w:rsidP="005D4E97">
            <w:pPr>
              <w:pStyle w:val="ListParagraph"/>
              <w:ind w:left="0"/>
              <w:rPr>
                <w:sz w:val="22"/>
                <w:szCs w:val="22"/>
              </w:rPr>
            </w:pPr>
          </w:p>
        </w:tc>
      </w:tr>
      <w:tr w:rsidR="00E646C9" w:rsidRPr="005D4E97" w14:paraId="0C091152" w14:textId="77777777" w:rsidTr="00C5059F">
        <w:tc>
          <w:tcPr>
            <w:tcW w:w="400" w:type="dxa"/>
          </w:tcPr>
          <w:p w14:paraId="31873C8C" w14:textId="75754497" w:rsidR="00E646C9" w:rsidRDefault="001275AB" w:rsidP="005D4E97">
            <w:pPr>
              <w:pStyle w:val="ListParagraph"/>
              <w:ind w:left="0"/>
              <w:rPr>
                <w:sz w:val="22"/>
                <w:szCs w:val="22"/>
              </w:rPr>
            </w:pPr>
            <w:proofErr w:type="gramStart"/>
            <w:r>
              <w:rPr>
                <w:sz w:val="22"/>
                <w:szCs w:val="22"/>
              </w:rPr>
              <w:t>q</w:t>
            </w:r>
            <w:proofErr w:type="gramEnd"/>
          </w:p>
        </w:tc>
        <w:tc>
          <w:tcPr>
            <w:tcW w:w="1733" w:type="dxa"/>
          </w:tcPr>
          <w:p w14:paraId="2C2A97DC" w14:textId="226DC8D0" w:rsidR="00E646C9" w:rsidRPr="005D4E97" w:rsidRDefault="007B557E" w:rsidP="005D4E97">
            <w:pPr>
              <w:pStyle w:val="ListParagraph"/>
              <w:ind w:left="0"/>
              <w:rPr>
                <w:sz w:val="22"/>
                <w:szCs w:val="22"/>
              </w:rPr>
            </w:pPr>
            <w:r>
              <w:rPr>
                <w:sz w:val="22"/>
                <w:szCs w:val="22"/>
              </w:rPr>
              <w:t xml:space="preserve">Slide 15 </w:t>
            </w:r>
            <w:proofErr w:type="spellStart"/>
            <w:r>
              <w:rPr>
                <w:sz w:val="22"/>
                <w:szCs w:val="22"/>
              </w:rPr>
              <w:t>para</w:t>
            </w:r>
            <w:proofErr w:type="spellEnd"/>
            <w:r>
              <w:rPr>
                <w:sz w:val="22"/>
                <w:szCs w:val="22"/>
              </w:rPr>
              <w:t xml:space="preserve"> 2</w:t>
            </w:r>
          </w:p>
        </w:tc>
        <w:tc>
          <w:tcPr>
            <w:tcW w:w="6054" w:type="dxa"/>
          </w:tcPr>
          <w:p w14:paraId="14573C91" w14:textId="77777777" w:rsidR="00E646C9" w:rsidRDefault="007B557E" w:rsidP="005D4E97">
            <w:pPr>
              <w:pStyle w:val="ListParagraph"/>
              <w:ind w:left="0"/>
              <w:rPr>
                <w:sz w:val="22"/>
                <w:szCs w:val="22"/>
              </w:rPr>
            </w:pPr>
            <w:r>
              <w:rPr>
                <w:sz w:val="22"/>
                <w:szCs w:val="22"/>
              </w:rPr>
              <w:t xml:space="preserve">Amend as follows: </w:t>
            </w:r>
          </w:p>
          <w:p w14:paraId="3A64714B" w14:textId="77777777" w:rsidR="007B557E" w:rsidRDefault="007B557E" w:rsidP="005D4E97">
            <w:pPr>
              <w:pStyle w:val="ListParagraph"/>
              <w:ind w:left="0"/>
              <w:rPr>
                <w:sz w:val="22"/>
                <w:szCs w:val="22"/>
              </w:rPr>
            </w:pPr>
          </w:p>
          <w:p w14:paraId="537EC8F1" w14:textId="21DA63A6" w:rsidR="007B557E" w:rsidRPr="007B557E" w:rsidRDefault="007B557E" w:rsidP="007B557E">
            <w:pPr>
              <w:rPr>
                <w:i/>
                <w:sz w:val="22"/>
                <w:szCs w:val="22"/>
              </w:rPr>
            </w:pPr>
            <w:r w:rsidRPr="007B557E">
              <w:rPr>
                <w:i/>
                <w:sz w:val="22"/>
                <w:szCs w:val="22"/>
              </w:rPr>
              <w:t>“GAL explained that the CAA noise model is not valid at levels as low as Leq16hr 45dB but</w:t>
            </w:r>
            <w:r>
              <w:rPr>
                <w:i/>
                <w:sz w:val="22"/>
                <w:szCs w:val="22"/>
              </w:rPr>
              <w:t xml:space="preserve"> has not responded </w:t>
            </w:r>
            <w:r w:rsidR="003A4012">
              <w:rPr>
                <w:i/>
                <w:sz w:val="22"/>
                <w:szCs w:val="22"/>
              </w:rPr>
              <w:t xml:space="preserve">to other community group proposals on metrics other than to restate its own preference for a single </w:t>
            </w:r>
            <w:proofErr w:type="spellStart"/>
            <w:r w:rsidR="003A4012">
              <w:rPr>
                <w:i/>
                <w:sz w:val="22"/>
                <w:szCs w:val="22"/>
              </w:rPr>
              <w:t>Leq</w:t>
            </w:r>
            <w:proofErr w:type="spellEnd"/>
            <w:r w:rsidR="003A4012">
              <w:rPr>
                <w:i/>
                <w:sz w:val="22"/>
                <w:szCs w:val="22"/>
              </w:rPr>
              <w:t xml:space="preserve"> metric</w:t>
            </w:r>
            <w:r w:rsidRPr="007B557E">
              <w:rPr>
                <w:i/>
                <w:sz w:val="22"/>
                <w:szCs w:val="22"/>
              </w:rPr>
              <w:t>.”</w:t>
            </w:r>
          </w:p>
          <w:p w14:paraId="791093F5" w14:textId="34C568EE" w:rsidR="007B557E" w:rsidRPr="005D4E97" w:rsidRDefault="007B557E" w:rsidP="005D4E97">
            <w:pPr>
              <w:pStyle w:val="ListParagraph"/>
              <w:ind w:left="0"/>
              <w:rPr>
                <w:sz w:val="22"/>
                <w:szCs w:val="22"/>
              </w:rPr>
            </w:pPr>
          </w:p>
        </w:tc>
      </w:tr>
      <w:tr w:rsidR="007734A7" w:rsidRPr="005D4E97" w14:paraId="763D3AD3" w14:textId="77777777" w:rsidTr="00C5059F">
        <w:tc>
          <w:tcPr>
            <w:tcW w:w="400" w:type="dxa"/>
          </w:tcPr>
          <w:p w14:paraId="37A12ACD" w14:textId="2ED53BBC" w:rsidR="007734A7" w:rsidRDefault="001275AB" w:rsidP="005D4E97">
            <w:pPr>
              <w:pStyle w:val="ListParagraph"/>
              <w:ind w:left="0"/>
              <w:rPr>
                <w:sz w:val="22"/>
                <w:szCs w:val="22"/>
              </w:rPr>
            </w:pPr>
            <w:proofErr w:type="gramStart"/>
            <w:r>
              <w:rPr>
                <w:sz w:val="22"/>
                <w:szCs w:val="22"/>
              </w:rPr>
              <w:t>r</w:t>
            </w:r>
            <w:proofErr w:type="gramEnd"/>
          </w:p>
        </w:tc>
        <w:tc>
          <w:tcPr>
            <w:tcW w:w="1733" w:type="dxa"/>
          </w:tcPr>
          <w:p w14:paraId="3CF3B97D" w14:textId="227C5CD0" w:rsidR="007734A7" w:rsidRDefault="007734A7" w:rsidP="005D4E97">
            <w:pPr>
              <w:pStyle w:val="ListParagraph"/>
              <w:ind w:left="0"/>
              <w:rPr>
                <w:sz w:val="22"/>
                <w:szCs w:val="22"/>
              </w:rPr>
            </w:pPr>
            <w:r>
              <w:rPr>
                <w:sz w:val="22"/>
                <w:szCs w:val="22"/>
              </w:rPr>
              <w:t>Slide 15</w:t>
            </w:r>
          </w:p>
        </w:tc>
        <w:tc>
          <w:tcPr>
            <w:tcW w:w="6054" w:type="dxa"/>
          </w:tcPr>
          <w:p w14:paraId="18015D2C" w14:textId="77777777" w:rsidR="007734A7" w:rsidRDefault="007734A7" w:rsidP="007B557E">
            <w:pPr>
              <w:rPr>
                <w:sz w:val="22"/>
                <w:szCs w:val="22"/>
              </w:rPr>
            </w:pPr>
            <w:r>
              <w:rPr>
                <w:sz w:val="22"/>
                <w:szCs w:val="22"/>
              </w:rPr>
              <w:t>Add:</w:t>
            </w:r>
          </w:p>
          <w:p w14:paraId="1044F345" w14:textId="77777777" w:rsidR="007734A7" w:rsidRDefault="007734A7" w:rsidP="007B557E">
            <w:pPr>
              <w:rPr>
                <w:sz w:val="22"/>
                <w:szCs w:val="22"/>
              </w:rPr>
            </w:pPr>
          </w:p>
          <w:p w14:paraId="1A725F97" w14:textId="3CD2A701" w:rsidR="00BE37C4" w:rsidRDefault="007734A7" w:rsidP="007B557E">
            <w:pPr>
              <w:rPr>
                <w:i/>
                <w:iCs/>
                <w:sz w:val="22"/>
                <w:szCs w:val="22"/>
              </w:rPr>
            </w:pPr>
            <w:r w:rsidRPr="007734A7">
              <w:rPr>
                <w:i/>
                <w:sz w:val="22"/>
                <w:szCs w:val="22"/>
              </w:rPr>
              <w:t>“Community groups argued that</w:t>
            </w:r>
            <w:r>
              <w:rPr>
                <w:i/>
                <w:sz w:val="22"/>
                <w:szCs w:val="22"/>
              </w:rPr>
              <w:t xml:space="preserve"> there was no policy support for GAL’s proposal to define the noise envelope </w:t>
            </w:r>
            <w:r w:rsidR="00BE37C4">
              <w:rPr>
                <w:i/>
                <w:sz w:val="22"/>
                <w:szCs w:val="22"/>
              </w:rPr>
              <w:t xml:space="preserve">solely </w:t>
            </w:r>
            <w:r>
              <w:rPr>
                <w:i/>
                <w:sz w:val="22"/>
                <w:szCs w:val="22"/>
              </w:rPr>
              <w:t xml:space="preserve">by reference to a single method of measuring noise – </w:t>
            </w:r>
            <w:proofErr w:type="spellStart"/>
            <w:r>
              <w:rPr>
                <w:i/>
                <w:sz w:val="22"/>
                <w:szCs w:val="22"/>
              </w:rPr>
              <w:t>Leq</w:t>
            </w:r>
            <w:proofErr w:type="spellEnd"/>
            <w:r>
              <w:rPr>
                <w:i/>
                <w:sz w:val="22"/>
                <w:szCs w:val="22"/>
              </w:rPr>
              <w:t xml:space="preserve">.  In their view </w:t>
            </w:r>
            <w:proofErr w:type="spellStart"/>
            <w:r>
              <w:rPr>
                <w:i/>
                <w:sz w:val="22"/>
                <w:szCs w:val="22"/>
              </w:rPr>
              <w:t>Leq</w:t>
            </w:r>
            <w:proofErr w:type="spellEnd"/>
            <w:r>
              <w:rPr>
                <w:i/>
                <w:sz w:val="22"/>
                <w:szCs w:val="22"/>
              </w:rPr>
              <w:t xml:space="preserve"> does not represent aircraft noise as experience by communities.  Sole use of </w:t>
            </w:r>
            <w:proofErr w:type="spellStart"/>
            <w:r>
              <w:rPr>
                <w:i/>
                <w:sz w:val="22"/>
                <w:szCs w:val="22"/>
              </w:rPr>
              <w:t>Leq</w:t>
            </w:r>
            <w:proofErr w:type="spellEnd"/>
            <w:r>
              <w:rPr>
                <w:i/>
                <w:sz w:val="22"/>
                <w:szCs w:val="22"/>
              </w:rPr>
              <w:t xml:space="preserve"> is inconsistent with CAA advice that a combination of parameters should be used and with the ANPS requirement for </w:t>
            </w:r>
            <w:r w:rsidRPr="007734A7">
              <w:rPr>
                <w:i/>
                <w:iCs/>
                <w:sz w:val="22"/>
                <w:szCs w:val="22"/>
              </w:rPr>
              <w:t xml:space="preserve">an envelope </w:t>
            </w:r>
            <w:r>
              <w:rPr>
                <w:i/>
                <w:iCs/>
                <w:sz w:val="22"/>
                <w:szCs w:val="22"/>
              </w:rPr>
              <w:t>to</w:t>
            </w:r>
            <w:r w:rsidRPr="007734A7">
              <w:rPr>
                <w:i/>
                <w:iCs/>
                <w:sz w:val="22"/>
                <w:szCs w:val="22"/>
              </w:rPr>
              <w:t xml:space="preserve"> be tailored to local priorities and </w:t>
            </w:r>
            <w:r>
              <w:rPr>
                <w:i/>
                <w:iCs/>
                <w:sz w:val="22"/>
                <w:szCs w:val="22"/>
              </w:rPr>
              <w:t xml:space="preserve">to be </w:t>
            </w:r>
            <w:r w:rsidRPr="007734A7">
              <w:rPr>
                <w:i/>
                <w:iCs/>
                <w:sz w:val="22"/>
                <w:szCs w:val="22"/>
              </w:rPr>
              <w:t>defined in consultation with local communities</w:t>
            </w:r>
            <w:r>
              <w:rPr>
                <w:i/>
                <w:iCs/>
                <w:sz w:val="22"/>
                <w:szCs w:val="22"/>
              </w:rPr>
              <w:t xml:space="preserve">.  </w:t>
            </w:r>
            <w:bookmarkStart w:id="0" w:name="_GoBack"/>
            <w:r w:rsidR="00035870" w:rsidRPr="00F17E0A">
              <w:rPr>
                <w:i/>
                <w:iCs/>
                <w:sz w:val="22"/>
                <w:szCs w:val="22"/>
              </w:rPr>
              <w:t>It is also inconsistent with government policy, in the Aviation Policy Framework, that average noise contours should not be the only measure used by airports, and that alternative measures should be developed in consultation with consultative committees and local communities.</w:t>
            </w:r>
            <w:r w:rsidR="00035870" w:rsidRPr="00035870">
              <w:rPr>
                <w:i/>
                <w:iCs/>
                <w:color w:val="FF0000"/>
                <w:sz w:val="22"/>
                <w:szCs w:val="22"/>
              </w:rPr>
              <w:t xml:space="preserve">   </w:t>
            </w:r>
            <w:bookmarkEnd w:id="0"/>
          </w:p>
          <w:p w14:paraId="4C986F8E" w14:textId="77777777" w:rsidR="00BE37C4" w:rsidRDefault="00BE37C4" w:rsidP="007B557E">
            <w:pPr>
              <w:rPr>
                <w:i/>
                <w:iCs/>
                <w:sz w:val="22"/>
                <w:szCs w:val="22"/>
              </w:rPr>
            </w:pPr>
          </w:p>
          <w:p w14:paraId="216EC023" w14:textId="5F16359C" w:rsidR="00F15AC3" w:rsidRPr="00F15AC3" w:rsidRDefault="007734A7" w:rsidP="00AD09E3">
            <w:pPr>
              <w:rPr>
                <w:i/>
                <w:iCs/>
                <w:sz w:val="22"/>
                <w:szCs w:val="22"/>
                <w:lang w:val="en-GB"/>
              </w:rPr>
            </w:pPr>
            <w:r>
              <w:rPr>
                <w:i/>
                <w:iCs/>
                <w:sz w:val="22"/>
                <w:szCs w:val="22"/>
              </w:rPr>
              <w:t xml:space="preserve">Community groups </w:t>
            </w:r>
            <w:r w:rsidR="00BE37C4">
              <w:rPr>
                <w:i/>
                <w:iCs/>
                <w:sz w:val="22"/>
                <w:szCs w:val="22"/>
              </w:rPr>
              <w:t xml:space="preserve">also </w:t>
            </w:r>
            <w:r w:rsidR="00F70496">
              <w:rPr>
                <w:i/>
                <w:iCs/>
                <w:sz w:val="22"/>
                <w:szCs w:val="22"/>
              </w:rPr>
              <w:t xml:space="preserve">rejected GAL’s view that </w:t>
            </w:r>
            <w:proofErr w:type="gramStart"/>
            <w:r w:rsidR="00F70496">
              <w:rPr>
                <w:i/>
                <w:iCs/>
                <w:sz w:val="22"/>
                <w:szCs w:val="22"/>
              </w:rPr>
              <w:t xml:space="preserve">use of </w:t>
            </w:r>
            <w:proofErr w:type="spellStart"/>
            <w:r w:rsidR="00F70496">
              <w:rPr>
                <w:i/>
                <w:iCs/>
                <w:sz w:val="22"/>
                <w:szCs w:val="22"/>
              </w:rPr>
              <w:t>Leq</w:t>
            </w:r>
            <w:proofErr w:type="spellEnd"/>
            <w:r w:rsidR="00F70496">
              <w:rPr>
                <w:i/>
                <w:iCs/>
                <w:sz w:val="22"/>
                <w:szCs w:val="22"/>
              </w:rPr>
              <w:t xml:space="preserve"> is supported by </w:t>
            </w:r>
            <w:r>
              <w:rPr>
                <w:i/>
                <w:iCs/>
                <w:sz w:val="22"/>
                <w:szCs w:val="22"/>
              </w:rPr>
              <w:t xml:space="preserve">the </w:t>
            </w:r>
            <w:r w:rsidR="00F70496">
              <w:rPr>
                <w:i/>
                <w:iCs/>
                <w:sz w:val="22"/>
                <w:szCs w:val="22"/>
              </w:rPr>
              <w:t>CAA’s 2014 Survey of Noise Attitudes</w:t>
            </w:r>
            <w:proofErr w:type="gramEnd"/>
            <w:r w:rsidR="00F70496">
              <w:rPr>
                <w:i/>
                <w:iCs/>
                <w:sz w:val="22"/>
                <w:szCs w:val="22"/>
              </w:rPr>
              <w:t xml:space="preserve">.  </w:t>
            </w:r>
            <w:r w:rsidR="00F15AC3">
              <w:rPr>
                <w:i/>
                <w:iCs/>
                <w:sz w:val="22"/>
                <w:szCs w:val="22"/>
              </w:rPr>
              <w:t xml:space="preserve">They noted </w:t>
            </w:r>
            <w:r w:rsidR="00F15AC3" w:rsidRPr="00AD09E3">
              <w:rPr>
                <w:i/>
                <w:sz w:val="22"/>
                <w:szCs w:val="22"/>
                <w:lang w:val="en-GB"/>
              </w:rPr>
              <w:t>ICCAN</w:t>
            </w:r>
            <w:r w:rsidR="00F15AC3">
              <w:rPr>
                <w:i/>
                <w:sz w:val="22"/>
                <w:szCs w:val="22"/>
                <w:lang w:val="en-GB"/>
              </w:rPr>
              <w:t xml:space="preserve">’s view that </w:t>
            </w:r>
            <w:r w:rsidR="00F15AC3" w:rsidRPr="00AD09E3">
              <w:rPr>
                <w:i/>
                <w:iCs/>
                <w:sz w:val="22"/>
                <w:szCs w:val="22"/>
                <w:lang w:val="en-GB"/>
              </w:rPr>
              <w:t>SoNA was not designed to consider the change in noise attitudes caused by an airport undergoing a period of volatility in its operation</w:t>
            </w:r>
            <w:r w:rsidR="00F15AC3">
              <w:rPr>
                <w:i/>
                <w:iCs/>
                <w:sz w:val="22"/>
                <w:szCs w:val="22"/>
                <w:lang w:val="en-GB"/>
              </w:rPr>
              <w:t xml:space="preserve">, such as expansion.  They also noted ICAO’s views first that </w:t>
            </w:r>
            <w:r w:rsidR="00F15AC3" w:rsidRPr="00AD09E3">
              <w:rPr>
                <w:i/>
                <w:iCs/>
                <w:sz w:val="22"/>
                <w:szCs w:val="22"/>
                <w:lang w:val="en-GB"/>
              </w:rPr>
              <w:t>exposure-response relationships are not applicable to assess the effects of a change in the noise climate</w:t>
            </w:r>
            <w:r w:rsidR="00F15AC3">
              <w:rPr>
                <w:i/>
                <w:iCs/>
                <w:sz w:val="22"/>
                <w:szCs w:val="22"/>
                <w:lang w:val="en-GB"/>
              </w:rPr>
              <w:t xml:space="preserve">, </w:t>
            </w:r>
            <w:r w:rsidR="00F15AC3" w:rsidRPr="00AD09E3">
              <w:rPr>
                <w:i/>
                <w:iCs/>
                <w:sz w:val="22"/>
                <w:szCs w:val="22"/>
                <w:lang w:val="en-GB"/>
              </w:rPr>
              <w:t>for instance</w:t>
            </w:r>
            <w:r w:rsidR="00F15AC3">
              <w:rPr>
                <w:i/>
                <w:iCs/>
                <w:sz w:val="22"/>
                <w:szCs w:val="22"/>
                <w:lang w:val="en-GB"/>
              </w:rPr>
              <w:t xml:space="preserve"> where a new runway is opened and secondly</w:t>
            </w:r>
            <w:r w:rsidR="00F15AC3" w:rsidRPr="00AD09E3">
              <w:rPr>
                <w:i/>
                <w:iCs/>
                <w:sz w:val="22"/>
                <w:szCs w:val="22"/>
                <w:lang w:val="en-GB"/>
              </w:rPr>
              <w:t xml:space="preserve"> that common</w:t>
            </w:r>
            <w:r w:rsidR="00F15AC3">
              <w:rPr>
                <w:i/>
                <w:iCs/>
                <w:sz w:val="22"/>
                <w:szCs w:val="22"/>
                <w:lang w:val="en-GB"/>
              </w:rPr>
              <w:t xml:space="preserve"> noise exposure variables (such as </w:t>
            </w:r>
            <w:proofErr w:type="spellStart"/>
            <w:r w:rsidR="00F15AC3">
              <w:rPr>
                <w:i/>
                <w:iCs/>
                <w:sz w:val="22"/>
                <w:szCs w:val="22"/>
                <w:lang w:val="en-GB"/>
              </w:rPr>
              <w:t>Leq</w:t>
            </w:r>
            <w:proofErr w:type="spellEnd"/>
            <w:r w:rsidR="00F15AC3">
              <w:rPr>
                <w:i/>
                <w:iCs/>
                <w:sz w:val="22"/>
                <w:szCs w:val="22"/>
                <w:lang w:val="en-GB"/>
              </w:rPr>
              <w:t>) only</w:t>
            </w:r>
            <w:r w:rsidR="00F15AC3" w:rsidRPr="00AD09E3">
              <w:rPr>
                <w:i/>
                <w:iCs/>
                <w:sz w:val="22"/>
                <w:szCs w:val="22"/>
                <w:lang w:val="en-GB"/>
              </w:rPr>
              <w:t xml:space="preserve"> </w:t>
            </w:r>
            <w:r w:rsidR="00F15AC3">
              <w:rPr>
                <w:i/>
                <w:iCs/>
                <w:sz w:val="22"/>
                <w:szCs w:val="22"/>
                <w:lang w:val="en-GB"/>
              </w:rPr>
              <w:t>account for</w:t>
            </w:r>
            <w:r w:rsidR="00F15AC3" w:rsidRPr="00AD09E3">
              <w:rPr>
                <w:i/>
                <w:iCs/>
                <w:sz w:val="22"/>
                <w:szCs w:val="22"/>
                <w:lang w:val="en-GB"/>
              </w:rPr>
              <w:t xml:space="preserve"> about one third of </w:t>
            </w:r>
            <w:r w:rsidR="00F15AC3">
              <w:rPr>
                <w:i/>
                <w:iCs/>
                <w:sz w:val="22"/>
                <w:szCs w:val="22"/>
                <w:lang w:val="en-GB"/>
              </w:rPr>
              <w:t>community impacts.  Finally they noted that the evidence</w:t>
            </w:r>
            <w:r w:rsidR="00F15AC3">
              <w:rPr>
                <w:i/>
                <w:sz w:val="22"/>
                <w:szCs w:val="22"/>
                <w:lang w:val="en-GB"/>
              </w:rPr>
              <w:t xml:space="preserve"> around Gatwick</w:t>
            </w:r>
            <w:r w:rsidR="00C43ACD">
              <w:rPr>
                <w:i/>
                <w:sz w:val="22"/>
                <w:szCs w:val="22"/>
                <w:lang w:val="en-GB"/>
              </w:rPr>
              <w:t xml:space="preserve"> is</w:t>
            </w:r>
            <w:r w:rsidR="00F15AC3" w:rsidRPr="00AD09E3">
              <w:rPr>
                <w:i/>
                <w:sz w:val="22"/>
                <w:szCs w:val="22"/>
                <w:lang w:val="en-GB"/>
              </w:rPr>
              <w:t xml:space="preserve"> </w:t>
            </w:r>
            <w:r w:rsidR="00C43ACD">
              <w:rPr>
                <w:i/>
                <w:sz w:val="22"/>
                <w:szCs w:val="22"/>
                <w:lang w:val="en-GB"/>
              </w:rPr>
              <w:t>that more frequent noise events</w:t>
            </w:r>
            <w:r w:rsidR="00F15AC3" w:rsidRPr="00AD09E3">
              <w:rPr>
                <w:i/>
                <w:sz w:val="22"/>
                <w:szCs w:val="22"/>
                <w:lang w:val="en-GB"/>
              </w:rPr>
              <w:t xml:space="preserve"> is a </w:t>
            </w:r>
            <w:r w:rsidR="00F15AC3">
              <w:rPr>
                <w:i/>
                <w:sz w:val="22"/>
                <w:szCs w:val="22"/>
                <w:lang w:val="en-GB"/>
              </w:rPr>
              <w:t xml:space="preserve">more significant </w:t>
            </w:r>
            <w:r w:rsidR="00F15AC3" w:rsidRPr="00AD09E3">
              <w:rPr>
                <w:i/>
                <w:sz w:val="22"/>
                <w:szCs w:val="22"/>
                <w:lang w:val="en-GB"/>
              </w:rPr>
              <w:t>cause of community impact</w:t>
            </w:r>
            <w:r w:rsidR="00F15AC3">
              <w:rPr>
                <w:i/>
                <w:sz w:val="22"/>
                <w:szCs w:val="22"/>
                <w:lang w:val="en-GB"/>
              </w:rPr>
              <w:t xml:space="preserve"> than </w:t>
            </w:r>
            <w:r w:rsidR="00C43ACD">
              <w:rPr>
                <w:i/>
                <w:sz w:val="22"/>
                <w:szCs w:val="22"/>
                <w:lang w:val="en-GB"/>
              </w:rPr>
              <w:t xml:space="preserve">increases in </w:t>
            </w:r>
            <w:r w:rsidR="00F15AC3">
              <w:rPr>
                <w:i/>
                <w:sz w:val="22"/>
                <w:szCs w:val="22"/>
                <w:lang w:val="en-GB"/>
              </w:rPr>
              <w:t>average noise</w:t>
            </w:r>
            <w:r w:rsidR="00F15AC3" w:rsidRPr="00AD09E3">
              <w:rPr>
                <w:i/>
                <w:sz w:val="22"/>
                <w:szCs w:val="22"/>
                <w:lang w:val="en-GB"/>
              </w:rPr>
              <w:t>. </w:t>
            </w:r>
          </w:p>
          <w:p w14:paraId="19374287" w14:textId="77777777" w:rsidR="00F15AC3" w:rsidRDefault="00F15AC3" w:rsidP="00AD09E3">
            <w:pPr>
              <w:rPr>
                <w:i/>
                <w:sz w:val="22"/>
                <w:szCs w:val="22"/>
                <w:lang w:val="en-GB"/>
              </w:rPr>
            </w:pPr>
          </w:p>
          <w:p w14:paraId="4B8CAEDB" w14:textId="54FC54D9" w:rsidR="00AD09E3" w:rsidRPr="00AD09E3" w:rsidRDefault="00F15AC3" w:rsidP="00AD09E3">
            <w:pPr>
              <w:rPr>
                <w:i/>
                <w:sz w:val="22"/>
                <w:szCs w:val="22"/>
                <w:lang w:val="en-GB"/>
              </w:rPr>
            </w:pPr>
            <w:r>
              <w:rPr>
                <w:i/>
                <w:sz w:val="22"/>
                <w:szCs w:val="22"/>
                <w:lang w:val="en-GB"/>
              </w:rPr>
              <w:t xml:space="preserve">In their view </w:t>
            </w:r>
            <w:r w:rsidR="00AD09E3" w:rsidRPr="00AD09E3">
              <w:rPr>
                <w:i/>
                <w:sz w:val="22"/>
                <w:szCs w:val="22"/>
                <w:lang w:val="en-GB"/>
              </w:rPr>
              <w:t>SoNA</w:t>
            </w:r>
            <w:r>
              <w:rPr>
                <w:i/>
                <w:sz w:val="22"/>
                <w:szCs w:val="22"/>
                <w:lang w:val="en-GB"/>
              </w:rPr>
              <w:t xml:space="preserve"> </w:t>
            </w:r>
            <w:r w:rsidR="00AD09E3" w:rsidRPr="00AD09E3">
              <w:rPr>
                <w:i/>
                <w:sz w:val="22"/>
                <w:szCs w:val="22"/>
                <w:lang w:val="en-GB"/>
              </w:rPr>
              <w:t xml:space="preserve">provides no evidence that </w:t>
            </w:r>
            <w:proofErr w:type="spellStart"/>
            <w:r w:rsidR="00AD09E3" w:rsidRPr="00AD09E3">
              <w:rPr>
                <w:i/>
                <w:sz w:val="22"/>
                <w:szCs w:val="22"/>
                <w:lang w:val="en-GB"/>
              </w:rPr>
              <w:t>Leq</w:t>
            </w:r>
            <w:proofErr w:type="spellEnd"/>
            <w:r w:rsidR="00AD09E3" w:rsidRPr="00AD09E3">
              <w:rPr>
                <w:i/>
                <w:sz w:val="22"/>
                <w:szCs w:val="22"/>
                <w:lang w:val="en-GB"/>
              </w:rPr>
              <w:t xml:space="preserve"> is a </w:t>
            </w:r>
            <w:r w:rsidR="00D17E50">
              <w:rPr>
                <w:i/>
                <w:sz w:val="22"/>
                <w:szCs w:val="22"/>
                <w:lang w:val="en-GB"/>
              </w:rPr>
              <w:t xml:space="preserve">reliable </w:t>
            </w:r>
            <w:r w:rsidR="00AD09E3" w:rsidRPr="00AD09E3">
              <w:rPr>
                <w:i/>
                <w:sz w:val="22"/>
                <w:szCs w:val="22"/>
                <w:lang w:val="en-GB"/>
              </w:rPr>
              <w:t>indicator of community impact over a period in which an airport is gro</w:t>
            </w:r>
            <w:r>
              <w:rPr>
                <w:i/>
                <w:sz w:val="22"/>
                <w:szCs w:val="22"/>
                <w:lang w:val="en-GB"/>
              </w:rPr>
              <w:t xml:space="preserve">wing. </w:t>
            </w:r>
          </w:p>
          <w:p w14:paraId="6D1FC108" w14:textId="61283D54" w:rsidR="007734A7" w:rsidRDefault="007734A7" w:rsidP="007B557E">
            <w:pPr>
              <w:rPr>
                <w:sz w:val="22"/>
                <w:szCs w:val="22"/>
              </w:rPr>
            </w:pPr>
          </w:p>
        </w:tc>
      </w:tr>
      <w:tr w:rsidR="007B557E" w:rsidRPr="005D4E97" w14:paraId="0748E7C8" w14:textId="77777777" w:rsidTr="00C5059F">
        <w:tc>
          <w:tcPr>
            <w:tcW w:w="400" w:type="dxa"/>
          </w:tcPr>
          <w:p w14:paraId="52EA3F3E" w14:textId="435C797A" w:rsidR="007B557E" w:rsidRDefault="001275AB" w:rsidP="005D4E97">
            <w:pPr>
              <w:pStyle w:val="ListParagraph"/>
              <w:ind w:left="0"/>
              <w:rPr>
                <w:sz w:val="22"/>
                <w:szCs w:val="22"/>
              </w:rPr>
            </w:pPr>
            <w:proofErr w:type="gramStart"/>
            <w:r>
              <w:rPr>
                <w:sz w:val="22"/>
                <w:szCs w:val="22"/>
              </w:rPr>
              <w:t>s</w:t>
            </w:r>
            <w:proofErr w:type="gramEnd"/>
          </w:p>
        </w:tc>
        <w:tc>
          <w:tcPr>
            <w:tcW w:w="1733" w:type="dxa"/>
          </w:tcPr>
          <w:p w14:paraId="7F892029" w14:textId="45DFB7CD" w:rsidR="007B557E" w:rsidRPr="005D4E97" w:rsidRDefault="007B557E" w:rsidP="005D4E97">
            <w:pPr>
              <w:pStyle w:val="ListParagraph"/>
              <w:ind w:left="0"/>
              <w:rPr>
                <w:sz w:val="22"/>
                <w:szCs w:val="22"/>
              </w:rPr>
            </w:pPr>
            <w:r>
              <w:rPr>
                <w:sz w:val="22"/>
                <w:szCs w:val="22"/>
              </w:rPr>
              <w:t xml:space="preserve">Slide 16, final </w:t>
            </w:r>
            <w:proofErr w:type="spellStart"/>
            <w:r>
              <w:rPr>
                <w:sz w:val="22"/>
                <w:szCs w:val="22"/>
              </w:rPr>
              <w:t>para</w:t>
            </w:r>
            <w:proofErr w:type="spellEnd"/>
          </w:p>
        </w:tc>
        <w:tc>
          <w:tcPr>
            <w:tcW w:w="6054" w:type="dxa"/>
          </w:tcPr>
          <w:p w14:paraId="329B176E" w14:textId="77777777" w:rsidR="007B557E" w:rsidRDefault="007B557E" w:rsidP="007B557E">
            <w:pPr>
              <w:rPr>
                <w:sz w:val="22"/>
                <w:szCs w:val="22"/>
              </w:rPr>
            </w:pPr>
            <w:r>
              <w:rPr>
                <w:sz w:val="22"/>
                <w:szCs w:val="22"/>
              </w:rPr>
              <w:t xml:space="preserve">We do not agree with the assertion that </w:t>
            </w:r>
            <w:r w:rsidRPr="00E646C9">
              <w:rPr>
                <w:i/>
                <w:sz w:val="22"/>
                <w:szCs w:val="22"/>
              </w:rPr>
              <w:t>“The concept of supplementary noise metrics was discussed, with broad agreement that additional supplementary noise metrics, that do not have limits, should be reported in the Noise Envelope to help foresee problems and manage noise”.</w:t>
            </w:r>
            <w:r w:rsidRPr="00E646C9">
              <w:rPr>
                <w:sz w:val="22"/>
                <w:szCs w:val="22"/>
              </w:rPr>
              <w:t xml:space="preserve"> </w:t>
            </w:r>
          </w:p>
          <w:p w14:paraId="02DE9648" w14:textId="77777777" w:rsidR="007B557E" w:rsidRDefault="007B557E" w:rsidP="007B557E">
            <w:pPr>
              <w:rPr>
                <w:sz w:val="22"/>
                <w:szCs w:val="22"/>
              </w:rPr>
            </w:pPr>
          </w:p>
          <w:p w14:paraId="3037E7ED" w14:textId="1D9C1C9C" w:rsidR="007B557E" w:rsidRPr="00E646C9" w:rsidRDefault="00436DDE" w:rsidP="007B557E">
            <w:pPr>
              <w:rPr>
                <w:sz w:val="22"/>
                <w:szCs w:val="22"/>
              </w:rPr>
            </w:pPr>
            <w:r>
              <w:rPr>
                <w:sz w:val="22"/>
                <w:szCs w:val="22"/>
              </w:rPr>
              <w:t>O</w:t>
            </w:r>
            <w:r w:rsidR="007B557E">
              <w:rPr>
                <w:sz w:val="22"/>
                <w:szCs w:val="22"/>
              </w:rPr>
              <w:t xml:space="preserve">ur view is that the noise envelope should comprise a suite of metrics.  Each of these </w:t>
            </w:r>
            <w:r w:rsidR="002221AB">
              <w:rPr>
                <w:sz w:val="22"/>
                <w:szCs w:val="22"/>
              </w:rPr>
              <w:t xml:space="preserve">metrics </w:t>
            </w:r>
            <w:r w:rsidR="007B557E">
              <w:rPr>
                <w:sz w:val="22"/>
                <w:szCs w:val="22"/>
              </w:rPr>
              <w:t xml:space="preserve">should have binding limits.  Secondary metrics without limits are of </w:t>
            </w:r>
            <w:r w:rsidR="002221AB">
              <w:rPr>
                <w:sz w:val="22"/>
                <w:szCs w:val="22"/>
              </w:rPr>
              <w:t>no meaningful</w:t>
            </w:r>
            <w:r w:rsidR="007B557E">
              <w:rPr>
                <w:sz w:val="22"/>
                <w:szCs w:val="22"/>
              </w:rPr>
              <w:t xml:space="preserve"> value to communities.      </w:t>
            </w:r>
          </w:p>
          <w:p w14:paraId="4AA3C1A6" w14:textId="77777777" w:rsidR="007B557E" w:rsidRPr="005D4E97" w:rsidRDefault="007B557E" w:rsidP="005D4E97">
            <w:pPr>
              <w:pStyle w:val="ListParagraph"/>
              <w:ind w:left="0"/>
              <w:rPr>
                <w:sz w:val="22"/>
                <w:szCs w:val="22"/>
              </w:rPr>
            </w:pPr>
          </w:p>
        </w:tc>
      </w:tr>
      <w:tr w:rsidR="007B557E" w:rsidRPr="005D4E97" w14:paraId="65912DBD" w14:textId="77777777" w:rsidTr="00C5059F">
        <w:tc>
          <w:tcPr>
            <w:tcW w:w="400" w:type="dxa"/>
          </w:tcPr>
          <w:p w14:paraId="1025B61C" w14:textId="0607BE6E" w:rsidR="007B557E" w:rsidRDefault="001275AB" w:rsidP="005D4E97">
            <w:pPr>
              <w:pStyle w:val="ListParagraph"/>
              <w:ind w:left="0"/>
              <w:rPr>
                <w:sz w:val="22"/>
                <w:szCs w:val="22"/>
              </w:rPr>
            </w:pPr>
            <w:proofErr w:type="gramStart"/>
            <w:r>
              <w:rPr>
                <w:sz w:val="22"/>
                <w:szCs w:val="22"/>
              </w:rPr>
              <w:t>t</w:t>
            </w:r>
            <w:proofErr w:type="gramEnd"/>
          </w:p>
        </w:tc>
        <w:tc>
          <w:tcPr>
            <w:tcW w:w="1733" w:type="dxa"/>
          </w:tcPr>
          <w:p w14:paraId="11C8029A" w14:textId="0B3C19E6" w:rsidR="007B557E" w:rsidRPr="005D4E97" w:rsidRDefault="002221AB" w:rsidP="005D4E97">
            <w:pPr>
              <w:pStyle w:val="ListParagraph"/>
              <w:ind w:left="0"/>
              <w:rPr>
                <w:sz w:val="22"/>
                <w:szCs w:val="22"/>
              </w:rPr>
            </w:pPr>
            <w:r>
              <w:rPr>
                <w:sz w:val="22"/>
                <w:szCs w:val="22"/>
              </w:rPr>
              <w:t xml:space="preserve">Slide 17, </w:t>
            </w:r>
            <w:proofErr w:type="spellStart"/>
            <w:r>
              <w:rPr>
                <w:sz w:val="22"/>
                <w:szCs w:val="22"/>
              </w:rPr>
              <w:t>para</w:t>
            </w:r>
            <w:proofErr w:type="spellEnd"/>
            <w:r>
              <w:rPr>
                <w:sz w:val="22"/>
                <w:szCs w:val="22"/>
              </w:rPr>
              <w:t xml:space="preserve"> 3</w:t>
            </w:r>
          </w:p>
        </w:tc>
        <w:tc>
          <w:tcPr>
            <w:tcW w:w="6054" w:type="dxa"/>
          </w:tcPr>
          <w:p w14:paraId="528DAC35" w14:textId="77777777" w:rsidR="002221AB" w:rsidRDefault="002221AB" w:rsidP="005D4E97">
            <w:pPr>
              <w:pStyle w:val="ListParagraph"/>
              <w:ind w:left="0"/>
              <w:rPr>
                <w:sz w:val="22"/>
                <w:szCs w:val="22"/>
              </w:rPr>
            </w:pPr>
            <w:r>
              <w:rPr>
                <w:sz w:val="22"/>
                <w:szCs w:val="22"/>
              </w:rPr>
              <w:t>Amend to read:</w:t>
            </w:r>
          </w:p>
          <w:p w14:paraId="46D83FCB" w14:textId="77777777" w:rsidR="002221AB" w:rsidRDefault="002221AB" w:rsidP="005D4E97">
            <w:pPr>
              <w:pStyle w:val="ListParagraph"/>
              <w:ind w:left="0"/>
              <w:rPr>
                <w:sz w:val="22"/>
                <w:szCs w:val="22"/>
              </w:rPr>
            </w:pPr>
          </w:p>
          <w:p w14:paraId="2DADB0EF" w14:textId="216AE058" w:rsidR="002221AB" w:rsidRPr="00FC2704" w:rsidRDefault="002221AB" w:rsidP="002221AB">
            <w:pPr>
              <w:rPr>
                <w:i/>
                <w:sz w:val="22"/>
                <w:szCs w:val="22"/>
                <w:lang w:val="en-GB"/>
              </w:rPr>
            </w:pPr>
            <w:r w:rsidRPr="002221AB">
              <w:rPr>
                <w:i/>
                <w:sz w:val="22"/>
                <w:szCs w:val="22"/>
              </w:rPr>
              <w:t xml:space="preserve">“The community groups </w:t>
            </w:r>
            <w:r w:rsidRPr="002221AB">
              <w:rPr>
                <w:i/>
                <w:strike/>
                <w:sz w:val="22"/>
                <w:szCs w:val="22"/>
              </w:rPr>
              <w:t>GACC</w:t>
            </w:r>
            <w:r w:rsidRPr="002221AB">
              <w:rPr>
                <w:i/>
                <w:sz w:val="22"/>
                <w:szCs w:val="22"/>
              </w:rPr>
              <w:t xml:space="preserve"> argued that the noise envelope should be </w:t>
            </w:r>
            <w:r>
              <w:rPr>
                <w:i/>
                <w:sz w:val="22"/>
                <w:szCs w:val="22"/>
              </w:rPr>
              <w:t xml:space="preserve">based </w:t>
            </w:r>
            <w:r w:rsidRPr="002221AB">
              <w:rPr>
                <w:i/>
                <w:strike/>
                <w:sz w:val="22"/>
                <w:szCs w:val="22"/>
              </w:rPr>
              <w:t>set</w:t>
            </w:r>
            <w:r w:rsidRPr="002221AB">
              <w:rPr>
                <w:i/>
                <w:sz w:val="22"/>
                <w:szCs w:val="22"/>
              </w:rPr>
              <w:t xml:space="preserve"> on a best case, strongly incentivised, fleet transition scenario</w:t>
            </w:r>
            <w:r w:rsidR="00975490">
              <w:rPr>
                <w:i/>
                <w:sz w:val="22"/>
                <w:szCs w:val="22"/>
              </w:rPr>
              <w:t xml:space="preserve"> </w:t>
            </w:r>
            <w:r w:rsidR="00FC2704">
              <w:rPr>
                <w:i/>
                <w:sz w:val="22"/>
                <w:szCs w:val="22"/>
              </w:rPr>
              <w:t xml:space="preserve">designed </w:t>
            </w:r>
            <w:r w:rsidR="00975490">
              <w:rPr>
                <w:i/>
                <w:sz w:val="22"/>
                <w:szCs w:val="22"/>
              </w:rPr>
              <w:t>to</w:t>
            </w:r>
            <w:r w:rsidRPr="002221AB">
              <w:rPr>
                <w:i/>
                <w:sz w:val="22"/>
                <w:szCs w:val="22"/>
              </w:rPr>
              <w:t xml:space="preserve"> </w:t>
            </w:r>
            <w:r w:rsidRPr="002221AB">
              <w:rPr>
                <w:i/>
                <w:strike/>
                <w:sz w:val="22"/>
                <w:szCs w:val="22"/>
              </w:rPr>
              <w:t xml:space="preserve">the Central Case or lower to provide an incentive; noise envelopes should </w:t>
            </w:r>
            <w:r w:rsidRPr="002221AB">
              <w:rPr>
                <w:i/>
                <w:sz w:val="22"/>
                <w:szCs w:val="22"/>
              </w:rPr>
              <w:t xml:space="preserve">incentivise airlines to introduce the quietest suitable aircraft as quickly as </w:t>
            </w:r>
            <w:r w:rsidR="00975490">
              <w:rPr>
                <w:i/>
                <w:sz w:val="22"/>
                <w:szCs w:val="22"/>
              </w:rPr>
              <w:t>is reasonably practicable</w:t>
            </w:r>
            <w:r w:rsidR="00C5059F">
              <w:rPr>
                <w:i/>
                <w:sz w:val="22"/>
                <w:szCs w:val="22"/>
              </w:rPr>
              <w:t>, in line with CAA advice</w:t>
            </w:r>
            <w:r w:rsidR="00975490">
              <w:rPr>
                <w:i/>
                <w:sz w:val="22"/>
                <w:szCs w:val="22"/>
              </w:rPr>
              <w:t>.</w:t>
            </w:r>
            <w:r w:rsidR="00FC2704">
              <w:rPr>
                <w:i/>
                <w:sz w:val="22"/>
                <w:szCs w:val="22"/>
              </w:rPr>
              <w:t xml:space="preserve">  In their view b</w:t>
            </w:r>
            <w:r w:rsidR="00FC2704" w:rsidRPr="00FC2704">
              <w:rPr>
                <w:i/>
                <w:sz w:val="22"/>
                <w:szCs w:val="22"/>
              </w:rPr>
              <w:t xml:space="preserve">y defining the noise envelope based on a slow fleet transition, Gatwick’s proposals </w:t>
            </w:r>
            <w:r w:rsidR="00FC2704">
              <w:rPr>
                <w:i/>
                <w:sz w:val="22"/>
                <w:szCs w:val="22"/>
              </w:rPr>
              <w:t>achieve the opposite effect</w:t>
            </w:r>
            <w:r w:rsidR="00F748BC">
              <w:rPr>
                <w:i/>
                <w:sz w:val="22"/>
                <w:szCs w:val="22"/>
              </w:rPr>
              <w:t>, i.e.</w:t>
            </w:r>
            <w:r w:rsidR="00FC2704">
              <w:rPr>
                <w:i/>
                <w:sz w:val="22"/>
                <w:szCs w:val="22"/>
              </w:rPr>
              <w:t xml:space="preserve"> of </w:t>
            </w:r>
            <w:proofErr w:type="spellStart"/>
            <w:r w:rsidR="00FC2704" w:rsidRPr="00FC2704">
              <w:rPr>
                <w:i/>
                <w:sz w:val="22"/>
                <w:szCs w:val="22"/>
              </w:rPr>
              <w:t>disincentivis</w:t>
            </w:r>
            <w:r w:rsidR="00FC2704">
              <w:rPr>
                <w:i/>
                <w:sz w:val="22"/>
                <w:szCs w:val="22"/>
              </w:rPr>
              <w:t>ing</w:t>
            </w:r>
            <w:proofErr w:type="spellEnd"/>
            <w:r w:rsidR="00FC2704">
              <w:rPr>
                <w:i/>
                <w:sz w:val="22"/>
                <w:szCs w:val="22"/>
              </w:rPr>
              <w:t xml:space="preserve"> </w:t>
            </w:r>
            <w:r w:rsidR="00FC2704" w:rsidRPr="00FC2704">
              <w:rPr>
                <w:i/>
                <w:sz w:val="22"/>
                <w:szCs w:val="22"/>
              </w:rPr>
              <w:t>the introduction of quieter aircraft</w:t>
            </w:r>
            <w:r w:rsidR="00FC2704">
              <w:rPr>
                <w:i/>
                <w:sz w:val="22"/>
                <w:szCs w:val="22"/>
                <w:lang w:val="en-GB"/>
              </w:rPr>
              <w:t>.</w:t>
            </w:r>
            <w:r w:rsidRPr="002221AB">
              <w:rPr>
                <w:i/>
                <w:sz w:val="22"/>
                <w:szCs w:val="22"/>
              </w:rPr>
              <w:t>”</w:t>
            </w:r>
          </w:p>
          <w:p w14:paraId="41188ACA" w14:textId="70ABD7EC" w:rsidR="007B557E" w:rsidRPr="005D4E97" w:rsidRDefault="007B557E" w:rsidP="00975490">
            <w:pPr>
              <w:pStyle w:val="ListParagraph"/>
              <w:ind w:left="0"/>
              <w:rPr>
                <w:sz w:val="22"/>
                <w:szCs w:val="22"/>
              </w:rPr>
            </w:pPr>
          </w:p>
        </w:tc>
      </w:tr>
      <w:tr w:rsidR="00F563D3" w:rsidRPr="005D4E97" w14:paraId="61432696" w14:textId="77777777" w:rsidTr="00C5059F">
        <w:tc>
          <w:tcPr>
            <w:tcW w:w="400" w:type="dxa"/>
          </w:tcPr>
          <w:p w14:paraId="4215E463" w14:textId="722138E1" w:rsidR="00F563D3" w:rsidRDefault="001275AB" w:rsidP="0027473C">
            <w:pPr>
              <w:pStyle w:val="ListParagraph"/>
              <w:ind w:left="0"/>
              <w:rPr>
                <w:sz w:val="22"/>
                <w:szCs w:val="22"/>
              </w:rPr>
            </w:pPr>
            <w:proofErr w:type="gramStart"/>
            <w:r>
              <w:rPr>
                <w:sz w:val="22"/>
                <w:szCs w:val="22"/>
              </w:rPr>
              <w:t>u</w:t>
            </w:r>
            <w:proofErr w:type="gramEnd"/>
          </w:p>
        </w:tc>
        <w:tc>
          <w:tcPr>
            <w:tcW w:w="1733" w:type="dxa"/>
          </w:tcPr>
          <w:p w14:paraId="5CE78740" w14:textId="1946CE79" w:rsidR="00F563D3" w:rsidRDefault="00F563D3" w:rsidP="0027473C">
            <w:pPr>
              <w:pStyle w:val="ListParagraph"/>
              <w:ind w:left="0"/>
              <w:rPr>
                <w:sz w:val="22"/>
                <w:szCs w:val="22"/>
              </w:rPr>
            </w:pPr>
            <w:r>
              <w:rPr>
                <w:sz w:val="22"/>
                <w:szCs w:val="22"/>
              </w:rPr>
              <w:t xml:space="preserve">Slide 18 opening sentence </w:t>
            </w:r>
          </w:p>
        </w:tc>
        <w:tc>
          <w:tcPr>
            <w:tcW w:w="6054" w:type="dxa"/>
          </w:tcPr>
          <w:p w14:paraId="4C6BAD3B" w14:textId="77777777" w:rsidR="00F563D3" w:rsidRDefault="00F563D3" w:rsidP="0027473C">
            <w:pPr>
              <w:pStyle w:val="ListParagraph"/>
              <w:ind w:left="0"/>
              <w:rPr>
                <w:sz w:val="22"/>
                <w:szCs w:val="22"/>
              </w:rPr>
            </w:pPr>
            <w:r>
              <w:rPr>
                <w:sz w:val="22"/>
                <w:szCs w:val="22"/>
              </w:rPr>
              <w:t>Amend as follows:</w:t>
            </w:r>
          </w:p>
          <w:p w14:paraId="3D5A0767" w14:textId="77777777" w:rsidR="00F563D3" w:rsidRDefault="00F563D3" w:rsidP="0027473C">
            <w:pPr>
              <w:pStyle w:val="ListParagraph"/>
              <w:ind w:left="0"/>
              <w:rPr>
                <w:sz w:val="22"/>
                <w:szCs w:val="22"/>
              </w:rPr>
            </w:pPr>
          </w:p>
          <w:p w14:paraId="6DF556AA" w14:textId="77777777" w:rsidR="00F563D3" w:rsidRDefault="00F563D3" w:rsidP="0027473C">
            <w:pPr>
              <w:pStyle w:val="ListParagraph"/>
              <w:ind w:left="0"/>
              <w:rPr>
                <w:i/>
                <w:sz w:val="22"/>
                <w:szCs w:val="22"/>
              </w:rPr>
            </w:pPr>
            <w:r w:rsidRPr="00F563D3">
              <w:rPr>
                <w:i/>
                <w:sz w:val="22"/>
                <w:szCs w:val="22"/>
              </w:rPr>
              <w:t>“</w:t>
            </w:r>
            <w:r w:rsidRPr="00F563D3">
              <w:rPr>
                <w:i/>
                <w:strike/>
                <w:sz w:val="22"/>
                <w:szCs w:val="22"/>
              </w:rPr>
              <w:t>GACC</w:t>
            </w:r>
            <w:r w:rsidRPr="00F563D3">
              <w:rPr>
                <w:i/>
                <w:sz w:val="22"/>
                <w:szCs w:val="22"/>
              </w:rPr>
              <w:t xml:space="preserve"> </w:t>
            </w:r>
            <w:r>
              <w:rPr>
                <w:i/>
                <w:sz w:val="22"/>
                <w:szCs w:val="22"/>
              </w:rPr>
              <w:t xml:space="preserve">Community Group </w:t>
            </w:r>
            <w:r w:rsidRPr="00F563D3">
              <w:rPr>
                <w:i/>
                <w:sz w:val="22"/>
                <w:szCs w:val="22"/>
              </w:rPr>
              <w:t>Key Presentation Points and Opinions:”</w:t>
            </w:r>
          </w:p>
          <w:p w14:paraId="393C818F" w14:textId="47FDC82E" w:rsidR="00F563D3" w:rsidRPr="00F563D3" w:rsidRDefault="00F563D3" w:rsidP="0027473C">
            <w:pPr>
              <w:pStyle w:val="ListParagraph"/>
              <w:ind w:left="0"/>
              <w:rPr>
                <w:i/>
                <w:sz w:val="22"/>
                <w:szCs w:val="22"/>
              </w:rPr>
            </w:pPr>
          </w:p>
        </w:tc>
      </w:tr>
      <w:tr w:rsidR="000C5E6D" w:rsidRPr="005D4E97" w14:paraId="502C9487" w14:textId="77777777" w:rsidTr="00C5059F">
        <w:tc>
          <w:tcPr>
            <w:tcW w:w="400" w:type="dxa"/>
          </w:tcPr>
          <w:p w14:paraId="3DFDDFE5" w14:textId="559238C8" w:rsidR="000C5E6D" w:rsidRDefault="001275AB" w:rsidP="0027473C">
            <w:pPr>
              <w:pStyle w:val="ListParagraph"/>
              <w:ind w:left="0"/>
              <w:rPr>
                <w:sz w:val="22"/>
                <w:szCs w:val="22"/>
              </w:rPr>
            </w:pPr>
            <w:proofErr w:type="gramStart"/>
            <w:r>
              <w:rPr>
                <w:sz w:val="22"/>
                <w:szCs w:val="22"/>
              </w:rPr>
              <w:t>v</w:t>
            </w:r>
            <w:proofErr w:type="gramEnd"/>
          </w:p>
        </w:tc>
        <w:tc>
          <w:tcPr>
            <w:tcW w:w="1733" w:type="dxa"/>
          </w:tcPr>
          <w:p w14:paraId="4F83263D" w14:textId="647CD2EB" w:rsidR="000C5E6D" w:rsidRPr="005D4E97" w:rsidRDefault="00F13529" w:rsidP="0027473C">
            <w:pPr>
              <w:pStyle w:val="ListParagraph"/>
              <w:ind w:left="0"/>
              <w:rPr>
                <w:sz w:val="22"/>
                <w:szCs w:val="22"/>
              </w:rPr>
            </w:pPr>
            <w:r>
              <w:rPr>
                <w:sz w:val="22"/>
                <w:szCs w:val="22"/>
              </w:rPr>
              <w:t>Slide 18, fourth bullet</w:t>
            </w:r>
          </w:p>
        </w:tc>
        <w:tc>
          <w:tcPr>
            <w:tcW w:w="6054" w:type="dxa"/>
          </w:tcPr>
          <w:p w14:paraId="156EA1E3" w14:textId="77777777" w:rsidR="000C5E6D" w:rsidRDefault="00F13529" w:rsidP="0027473C">
            <w:pPr>
              <w:pStyle w:val="ListParagraph"/>
              <w:ind w:left="0"/>
              <w:rPr>
                <w:sz w:val="22"/>
                <w:szCs w:val="22"/>
              </w:rPr>
            </w:pPr>
            <w:r>
              <w:rPr>
                <w:sz w:val="22"/>
                <w:szCs w:val="22"/>
              </w:rPr>
              <w:t>Amend to read:</w:t>
            </w:r>
          </w:p>
          <w:p w14:paraId="0E17A4AB" w14:textId="77777777" w:rsidR="00F13529" w:rsidRDefault="00F13529" w:rsidP="0027473C">
            <w:pPr>
              <w:pStyle w:val="ListParagraph"/>
              <w:ind w:left="0"/>
              <w:rPr>
                <w:sz w:val="22"/>
                <w:szCs w:val="22"/>
              </w:rPr>
            </w:pPr>
          </w:p>
          <w:p w14:paraId="0AD7554F" w14:textId="5FBBFB42" w:rsidR="00F13529" w:rsidRPr="00F13529" w:rsidRDefault="00F13529" w:rsidP="00F13529">
            <w:pPr>
              <w:rPr>
                <w:i/>
                <w:sz w:val="22"/>
                <w:szCs w:val="22"/>
              </w:rPr>
            </w:pPr>
            <w:r w:rsidRPr="00F13529">
              <w:rPr>
                <w:i/>
                <w:sz w:val="22"/>
                <w:szCs w:val="22"/>
              </w:rPr>
              <w:t xml:space="preserve">“Hourly aircraft movements should be limited at all times of day to levels that </w:t>
            </w:r>
            <w:r>
              <w:rPr>
                <w:i/>
                <w:sz w:val="22"/>
                <w:szCs w:val="22"/>
              </w:rPr>
              <w:t xml:space="preserve">achieve a progressive </w:t>
            </w:r>
            <w:r w:rsidRPr="00F13529">
              <w:rPr>
                <w:i/>
                <w:strike/>
                <w:sz w:val="22"/>
                <w:szCs w:val="22"/>
              </w:rPr>
              <w:t>ensure the</w:t>
            </w:r>
            <w:r w:rsidRPr="00F13529">
              <w:rPr>
                <w:i/>
                <w:sz w:val="22"/>
                <w:szCs w:val="22"/>
              </w:rPr>
              <w:t xml:space="preserve"> reduction of aircraft noise in all locations to less than the limits recommended by the WHO. GAL challenged if this was reasonable, as to reduce noise levels to the WHO guidelines at properties very close to the airport would require no flights”</w:t>
            </w:r>
          </w:p>
          <w:p w14:paraId="755EC806" w14:textId="57C75758" w:rsidR="00F13529" w:rsidRPr="005D4E97" w:rsidRDefault="00F13529" w:rsidP="0027473C">
            <w:pPr>
              <w:pStyle w:val="ListParagraph"/>
              <w:ind w:left="0"/>
              <w:rPr>
                <w:sz w:val="22"/>
                <w:szCs w:val="22"/>
              </w:rPr>
            </w:pPr>
          </w:p>
        </w:tc>
      </w:tr>
      <w:tr w:rsidR="000C5E6D" w:rsidRPr="005D4E97" w14:paraId="520F472A" w14:textId="77777777" w:rsidTr="00C5059F">
        <w:tc>
          <w:tcPr>
            <w:tcW w:w="400" w:type="dxa"/>
          </w:tcPr>
          <w:p w14:paraId="594ACCBE" w14:textId="40DA91FB" w:rsidR="000C5E6D" w:rsidRDefault="001275AB" w:rsidP="0027473C">
            <w:pPr>
              <w:pStyle w:val="ListParagraph"/>
              <w:ind w:left="0"/>
              <w:rPr>
                <w:sz w:val="22"/>
                <w:szCs w:val="22"/>
              </w:rPr>
            </w:pPr>
            <w:proofErr w:type="gramStart"/>
            <w:r>
              <w:rPr>
                <w:sz w:val="22"/>
                <w:szCs w:val="22"/>
              </w:rPr>
              <w:t>w</w:t>
            </w:r>
            <w:proofErr w:type="gramEnd"/>
          </w:p>
        </w:tc>
        <w:tc>
          <w:tcPr>
            <w:tcW w:w="1733" w:type="dxa"/>
          </w:tcPr>
          <w:p w14:paraId="259D7CBA" w14:textId="39D5B16D" w:rsidR="000C5E6D" w:rsidRPr="005D4E97" w:rsidRDefault="00280EC3" w:rsidP="0027473C">
            <w:pPr>
              <w:pStyle w:val="ListParagraph"/>
              <w:ind w:left="0"/>
              <w:rPr>
                <w:sz w:val="22"/>
                <w:szCs w:val="22"/>
              </w:rPr>
            </w:pPr>
            <w:r>
              <w:rPr>
                <w:sz w:val="22"/>
                <w:szCs w:val="22"/>
              </w:rPr>
              <w:t xml:space="preserve">Slide 19, second </w:t>
            </w:r>
            <w:proofErr w:type="spellStart"/>
            <w:r>
              <w:rPr>
                <w:sz w:val="22"/>
                <w:szCs w:val="22"/>
              </w:rPr>
              <w:t>para</w:t>
            </w:r>
            <w:proofErr w:type="spellEnd"/>
          </w:p>
        </w:tc>
        <w:tc>
          <w:tcPr>
            <w:tcW w:w="6054" w:type="dxa"/>
          </w:tcPr>
          <w:p w14:paraId="1E0DDAD4" w14:textId="3AAB436F" w:rsidR="00E624E5" w:rsidRDefault="001E48AA" w:rsidP="00280EC3">
            <w:pPr>
              <w:rPr>
                <w:sz w:val="22"/>
                <w:szCs w:val="22"/>
              </w:rPr>
            </w:pPr>
            <w:r>
              <w:rPr>
                <w:sz w:val="22"/>
                <w:szCs w:val="22"/>
              </w:rPr>
              <w:t>Delete:</w:t>
            </w:r>
          </w:p>
          <w:p w14:paraId="0DEC29CF" w14:textId="77777777" w:rsidR="00E624E5" w:rsidRDefault="00E624E5" w:rsidP="00280EC3">
            <w:pPr>
              <w:rPr>
                <w:sz w:val="22"/>
                <w:szCs w:val="22"/>
              </w:rPr>
            </w:pPr>
          </w:p>
          <w:p w14:paraId="339BDECF" w14:textId="677590D2" w:rsidR="00280EC3" w:rsidRPr="00280EC3" w:rsidRDefault="00537814" w:rsidP="00280EC3">
            <w:pPr>
              <w:rPr>
                <w:i/>
                <w:sz w:val="22"/>
                <w:szCs w:val="22"/>
              </w:rPr>
            </w:pPr>
            <w:r>
              <w:rPr>
                <w:i/>
                <w:sz w:val="22"/>
                <w:szCs w:val="22"/>
              </w:rPr>
              <w:t>“</w:t>
            </w:r>
            <w:r w:rsidR="00280EC3" w:rsidRPr="00280EC3">
              <w:rPr>
                <w:i/>
                <w:sz w:val="22"/>
                <w:szCs w:val="22"/>
              </w:rPr>
              <w:t xml:space="preserve">The community methods showed a lower proportions with, for example, GACC calculating 30% sharing of benefit for the daytime contour in 2038.” </w:t>
            </w:r>
          </w:p>
          <w:p w14:paraId="719DD46A" w14:textId="77777777" w:rsidR="000C5E6D" w:rsidRDefault="000C5E6D" w:rsidP="0027473C">
            <w:pPr>
              <w:pStyle w:val="ListParagraph"/>
              <w:ind w:left="0"/>
              <w:rPr>
                <w:sz w:val="22"/>
                <w:szCs w:val="22"/>
              </w:rPr>
            </w:pPr>
          </w:p>
          <w:p w14:paraId="21D8C5F0" w14:textId="6A298FF9" w:rsidR="00280EC3" w:rsidRDefault="00280EC3" w:rsidP="0027473C">
            <w:pPr>
              <w:pStyle w:val="ListParagraph"/>
              <w:ind w:left="0"/>
              <w:rPr>
                <w:sz w:val="22"/>
                <w:szCs w:val="22"/>
              </w:rPr>
            </w:pPr>
            <w:r>
              <w:rPr>
                <w:sz w:val="22"/>
                <w:szCs w:val="22"/>
              </w:rPr>
              <w:t>Insert:</w:t>
            </w:r>
          </w:p>
          <w:p w14:paraId="57853A11" w14:textId="77777777" w:rsidR="00280EC3" w:rsidRDefault="00280EC3" w:rsidP="0027473C">
            <w:pPr>
              <w:pStyle w:val="ListParagraph"/>
              <w:ind w:left="0"/>
              <w:rPr>
                <w:sz w:val="22"/>
                <w:szCs w:val="22"/>
              </w:rPr>
            </w:pPr>
          </w:p>
          <w:p w14:paraId="63A94374" w14:textId="77777777" w:rsidR="00F563D3" w:rsidRDefault="0027473C" w:rsidP="0027473C">
            <w:pPr>
              <w:rPr>
                <w:i/>
                <w:sz w:val="22"/>
                <w:szCs w:val="22"/>
                <w:lang w:val="en-GB"/>
              </w:rPr>
            </w:pPr>
            <w:r w:rsidRPr="0027473C">
              <w:rPr>
                <w:i/>
                <w:sz w:val="22"/>
                <w:szCs w:val="22"/>
              </w:rPr>
              <w:t xml:space="preserve">“Community groups </w:t>
            </w:r>
            <w:r>
              <w:rPr>
                <w:i/>
                <w:sz w:val="22"/>
                <w:szCs w:val="22"/>
              </w:rPr>
              <w:t xml:space="preserve">illustrated that GAL’s proposals did not </w:t>
            </w:r>
            <w:r w:rsidR="00CF14B7">
              <w:rPr>
                <w:i/>
                <w:sz w:val="22"/>
                <w:szCs w:val="22"/>
              </w:rPr>
              <w:t xml:space="preserve">share </w:t>
            </w:r>
            <w:r w:rsidR="00CF14B7">
              <w:rPr>
                <w:i/>
                <w:sz w:val="22"/>
                <w:szCs w:val="22"/>
                <w:lang w:val="en-GB"/>
              </w:rPr>
              <w:t xml:space="preserve">benefits </w:t>
            </w:r>
            <w:r w:rsidRPr="0027473C">
              <w:rPr>
                <w:i/>
                <w:sz w:val="22"/>
                <w:szCs w:val="22"/>
                <w:lang w:val="en-GB"/>
              </w:rPr>
              <w:t>between the aviation industry and local communities</w:t>
            </w:r>
            <w:r w:rsidR="00CF14B7">
              <w:rPr>
                <w:i/>
                <w:sz w:val="22"/>
                <w:szCs w:val="22"/>
                <w:lang w:val="en-GB"/>
              </w:rPr>
              <w:t xml:space="preserve">, as required by government policy.  In 2032 GAL and its customers would benefit from a 55% increase in passenger capacity compared to 2019, whilst communities would suffer a 7.9% increase in the day period </w:t>
            </w:r>
            <w:proofErr w:type="spellStart"/>
            <w:r w:rsidR="00CF14B7">
              <w:rPr>
                <w:i/>
                <w:sz w:val="22"/>
                <w:szCs w:val="22"/>
                <w:lang w:val="en-GB"/>
              </w:rPr>
              <w:t>Leq</w:t>
            </w:r>
            <w:proofErr w:type="spellEnd"/>
            <w:r w:rsidR="00CF14B7">
              <w:rPr>
                <w:i/>
                <w:sz w:val="22"/>
                <w:szCs w:val="22"/>
                <w:lang w:val="en-GB"/>
              </w:rPr>
              <w:t xml:space="preserve"> contour and only a 1.2% improvement in the night period </w:t>
            </w:r>
            <w:proofErr w:type="spellStart"/>
            <w:r w:rsidR="00CF14B7">
              <w:rPr>
                <w:i/>
                <w:sz w:val="22"/>
                <w:szCs w:val="22"/>
                <w:lang w:val="en-GB"/>
              </w:rPr>
              <w:t>Leq</w:t>
            </w:r>
            <w:proofErr w:type="spellEnd"/>
            <w:r w:rsidR="00CF14B7">
              <w:rPr>
                <w:i/>
                <w:sz w:val="22"/>
                <w:szCs w:val="22"/>
                <w:lang w:val="en-GB"/>
              </w:rPr>
              <w:t xml:space="preserve"> contour.  By 2038 those figures would be 62%, 7.6%, and 14.6% respectively.   If noise </w:t>
            </w:r>
            <w:r w:rsidR="00EA67FB">
              <w:rPr>
                <w:i/>
                <w:sz w:val="22"/>
                <w:szCs w:val="22"/>
                <w:lang w:val="en-GB"/>
              </w:rPr>
              <w:t>were</w:t>
            </w:r>
            <w:r w:rsidR="00CF14B7">
              <w:rPr>
                <w:i/>
                <w:sz w:val="22"/>
                <w:szCs w:val="22"/>
                <w:lang w:val="en-GB"/>
              </w:rPr>
              <w:t xml:space="preserve"> measured on a meaningful basis (rather than using </w:t>
            </w:r>
            <w:proofErr w:type="spellStart"/>
            <w:r w:rsidR="00CF14B7">
              <w:rPr>
                <w:i/>
                <w:sz w:val="22"/>
                <w:szCs w:val="22"/>
                <w:lang w:val="en-GB"/>
              </w:rPr>
              <w:t>Leq</w:t>
            </w:r>
            <w:proofErr w:type="spellEnd"/>
            <w:r w:rsidR="00CF14B7">
              <w:rPr>
                <w:i/>
                <w:sz w:val="22"/>
                <w:szCs w:val="22"/>
                <w:lang w:val="en-GB"/>
              </w:rPr>
              <w:t xml:space="preserve"> alone) community groups would suffer disbenefi</w:t>
            </w:r>
            <w:r w:rsidR="002D2BB6">
              <w:rPr>
                <w:i/>
                <w:sz w:val="22"/>
                <w:szCs w:val="22"/>
                <w:lang w:val="en-GB"/>
              </w:rPr>
              <w:t>ts in all periods.</w:t>
            </w:r>
          </w:p>
          <w:p w14:paraId="29D2E4BD" w14:textId="77777777" w:rsidR="00F563D3" w:rsidRDefault="00F563D3" w:rsidP="0027473C">
            <w:pPr>
              <w:rPr>
                <w:i/>
                <w:sz w:val="22"/>
                <w:szCs w:val="22"/>
                <w:lang w:val="en-GB"/>
              </w:rPr>
            </w:pPr>
          </w:p>
          <w:p w14:paraId="1206D6EB" w14:textId="2DBE39D7" w:rsidR="0027473C" w:rsidRPr="0027473C" w:rsidRDefault="00F563D3" w:rsidP="0027473C">
            <w:pPr>
              <w:rPr>
                <w:i/>
                <w:sz w:val="22"/>
                <w:szCs w:val="22"/>
                <w:lang w:val="en-GB"/>
              </w:rPr>
            </w:pPr>
            <w:r>
              <w:rPr>
                <w:i/>
                <w:sz w:val="22"/>
                <w:szCs w:val="22"/>
                <w:lang w:val="en-GB"/>
              </w:rPr>
              <w:t xml:space="preserve">Community Groups noted that </w:t>
            </w:r>
            <w:r w:rsidRPr="00F563D3">
              <w:rPr>
                <w:i/>
                <w:sz w:val="22"/>
                <w:szCs w:val="22"/>
                <w:lang w:val="en-GB"/>
              </w:rPr>
              <w:t>the engagement's curtailed timescale resulted in a</w:t>
            </w:r>
            <w:r>
              <w:rPr>
                <w:i/>
                <w:sz w:val="22"/>
                <w:szCs w:val="22"/>
                <w:lang w:val="en-GB"/>
              </w:rPr>
              <w:t xml:space="preserve"> </w:t>
            </w:r>
            <w:r w:rsidRPr="00F563D3">
              <w:rPr>
                <w:i/>
                <w:sz w:val="22"/>
                <w:szCs w:val="22"/>
                <w:lang w:val="en-GB"/>
              </w:rPr>
              <w:t>failure to discuss and agree a target sharin</w:t>
            </w:r>
            <w:r>
              <w:rPr>
                <w:i/>
                <w:sz w:val="22"/>
                <w:szCs w:val="22"/>
                <w:lang w:val="en-GB"/>
              </w:rPr>
              <w:t>g percentage.  ”</w:t>
            </w:r>
            <w:r w:rsidR="002D2BB6">
              <w:rPr>
                <w:i/>
                <w:sz w:val="22"/>
                <w:szCs w:val="22"/>
                <w:lang w:val="en-GB"/>
              </w:rPr>
              <w:t xml:space="preserve">  </w:t>
            </w:r>
          </w:p>
          <w:p w14:paraId="25C6AE09" w14:textId="03CAFFD5" w:rsidR="00280EC3" w:rsidRPr="005D4E97" w:rsidRDefault="00280EC3" w:rsidP="0027473C">
            <w:pPr>
              <w:pStyle w:val="ListParagraph"/>
              <w:ind w:left="0"/>
              <w:rPr>
                <w:sz w:val="22"/>
                <w:szCs w:val="22"/>
              </w:rPr>
            </w:pPr>
          </w:p>
        </w:tc>
      </w:tr>
      <w:tr w:rsidR="00BC0B88" w:rsidRPr="005D4E97" w14:paraId="289D94B9" w14:textId="77777777" w:rsidTr="00C5059F">
        <w:tc>
          <w:tcPr>
            <w:tcW w:w="400" w:type="dxa"/>
          </w:tcPr>
          <w:p w14:paraId="0A147BB0" w14:textId="1C1F1D48" w:rsidR="00BC0B88" w:rsidRDefault="001275AB" w:rsidP="005D4E97">
            <w:pPr>
              <w:pStyle w:val="ListParagraph"/>
              <w:ind w:left="0"/>
              <w:rPr>
                <w:sz w:val="22"/>
                <w:szCs w:val="22"/>
              </w:rPr>
            </w:pPr>
            <w:proofErr w:type="gramStart"/>
            <w:r>
              <w:rPr>
                <w:sz w:val="22"/>
                <w:szCs w:val="22"/>
              </w:rPr>
              <w:t>x</w:t>
            </w:r>
            <w:proofErr w:type="gramEnd"/>
          </w:p>
        </w:tc>
        <w:tc>
          <w:tcPr>
            <w:tcW w:w="1733" w:type="dxa"/>
          </w:tcPr>
          <w:p w14:paraId="4ED9B706" w14:textId="590F0F5B" w:rsidR="00BC0B88" w:rsidRDefault="00BC0B88" w:rsidP="005D4E97">
            <w:pPr>
              <w:pStyle w:val="ListParagraph"/>
              <w:ind w:left="0"/>
              <w:rPr>
                <w:sz w:val="22"/>
                <w:szCs w:val="22"/>
              </w:rPr>
            </w:pPr>
            <w:r>
              <w:rPr>
                <w:sz w:val="22"/>
                <w:szCs w:val="22"/>
              </w:rPr>
              <w:t xml:space="preserve">Slide 21 last </w:t>
            </w:r>
            <w:proofErr w:type="spellStart"/>
            <w:r>
              <w:rPr>
                <w:sz w:val="22"/>
                <w:szCs w:val="22"/>
              </w:rPr>
              <w:t>para</w:t>
            </w:r>
            <w:proofErr w:type="spellEnd"/>
          </w:p>
        </w:tc>
        <w:tc>
          <w:tcPr>
            <w:tcW w:w="6054" w:type="dxa"/>
          </w:tcPr>
          <w:p w14:paraId="55F1CD61" w14:textId="77777777" w:rsidR="00BC0B88" w:rsidRDefault="00B8736C" w:rsidP="00537814">
            <w:pPr>
              <w:rPr>
                <w:sz w:val="22"/>
                <w:szCs w:val="22"/>
              </w:rPr>
            </w:pPr>
            <w:r>
              <w:rPr>
                <w:sz w:val="22"/>
                <w:szCs w:val="22"/>
              </w:rPr>
              <w:t>Amend as follows:</w:t>
            </w:r>
          </w:p>
          <w:p w14:paraId="77DEF1D0" w14:textId="77777777" w:rsidR="00B8736C" w:rsidRDefault="00B8736C" w:rsidP="00537814">
            <w:pPr>
              <w:rPr>
                <w:sz w:val="22"/>
                <w:szCs w:val="22"/>
              </w:rPr>
            </w:pPr>
          </w:p>
          <w:p w14:paraId="114F41D7" w14:textId="7D96604F" w:rsidR="00B8736C" w:rsidRPr="00B8736C" w:rsidRDefault="00B8736C" w:rsidP="00B8736C">
            <w:pPr>
              <w:rPr>
                <w:i/>
                <w:sz w:val="22"/>
                <w:szCs w:val="22"/>
              </w:rPr>
            </w:pPr>
            <w:r w:rsidRPr="00B8736C">
              <w:rPr>
                <w:i/>
                <w:sz w:val="22"/>
                <w:szCs w:val="22"/>
              </w:rPr>
              <w:t xml:space="preserve">“Community Groups’ </w:t>
            </w:r>
            <w:r w:rsidRPr="00B8736C">
              <w:rPr>
                <w:i/>
                <w:strike/>
                <w:sz w:val="22"/>
                <w:szCs w:val="22"/>
              </w:rPr>
              <w:t>GACC’s</w:t>
            </w:r>
            <w:r w:rsidRPr="00B8736C">
              <w:rPr>
                <w:i/>
                <w:sz w:val="22"/>
                <w:szCs w:val="22"/>
              </w:rPr>
              <w:t xml:space="preserve"> view was that achievement of noise envelope limits must be enforceable, not subject to …”</w:t>
            </w:r>
          </w:p>
        </w:tc>
      </w:tr>
      <w:tr w:rsidR="000C5E6D" w:rsidRPr="005D4E97" w14:paraId="1132C2BE" w14:textId="77777777" w:rsidTr="00C5059F">
        <w:tc>
          <w:tcPr>
            <w:tcW w:w="400" w:type="dxa"/>
          </w:tcPr>
          <w:p w14:paraId="6916487A" w14:textId="2199096D" w:rsidR="000C5E6D" w:rsidRDefault="001275AB" w:rsidP="005D4E97">
            <w:pPr>
              <w:pStyle w:val="ListParagraph"/>
              <w:ind w:left="0"/>
              <w:rPr>
                <w:sz w:val="22"/>
                <w:szCs w:val="22"/>
              </w:rPr>
            </w:pPr>
            <w:proofErr w:type="gramStart"/>
            <w:r>
              <w:rPr>
                <w:sz w:val="22"/>
                <w:szCs w:val="22"/>
              </w:rPr>
              <w:t>y</w:t>
            </w:r>
            <w:proofErr w:type="gramEnd"/>
          </w:p>
        </w:tc>
        <w:tc>
          <w:tcPr>
            <w:tcW w:w="1733" w:type="dxa"/>
          </w:tcPr>
          <w:p w14:paraId="16E74F2F" w14:textId="08179995" w:rsidR="000C5E6D" w:rsidRPr="005D4E97" w:rsidRDefault="00537814" w:rsidP="005D4E97">
            <w:pPr>
              <w:pStyle w:val="ListParagraph"/>
              <w:ind w:left="0"/>
              <w:rPr>
                <w:sz w:val="22"/>
                <w:szCs w:val="22"/>
              </w:rPr>
            </w:pPr>
            <w:r>
              <w:rPr>
                <w:sz w:val="22"/>
                <w:szCs w:val="22"/>
              </w:rPr>
              <w:t xml:space="preserve">Slide 23, </w:t>
            </w:r>
            <w:proofErr w:type="spellStart"/>
            <w:r>
              <w:rPr>
                <w:sz w:val="22"/>
                <w:szCs w:val="22"/>
              </w:rPr>
              <w:t>para</w:t>
            </w:r>
            <w:proofErr w:type="spellEnd"/>
            <w:r>
              <w:rPr>
                <w:sz w:val="22"/>
                <w:szCs w:val="22"/>
              </w:rPr>
              <w:t xml:space="preserve"> 3</w:t>
            </w:r>
          </w:p>
        </w:tc>
        <w:tc>
          <w:tcPr>
            <w:tcW w:w="6054" w:type="dxa"/>
          </w:tcPr>
          <w:p w14:paraId="1B30A0AA" w14:textId="28D1610C" w:rsidR="00537814" w:rsidRDefault="00537814" w:rsidP="00537814">
            <w:pPr>
              <w:rPr>
                <w:sz w:val="22"/>
                <w:szCs w:val="22"/>
              </w:rPr>
            </w:pPr>
            <w:r>
              <w:rPr>
                <w:sz w:val="22"/>
                <w:szCs w:val="22"/>
              </w:rPr>
              <w:t xml:space="preserve">Amend to read: </w:t>
            </w:r>
          </w:p>
          <w:p w14:paraId="425743D0" w14:textId="77777777" w:rsidR="00537814" w:rsidRDefault="00537814" w:rsidP="00537814">
            <w:pPr>
              <w:rPr>
                <w:sz w:val="22"/>
                <w:szCs w:val="22"/>
              </w:rPr>
            </w:pPr>
          </w:p>
          <w:p w14:paraId="177D96D2" w14:textId="12FE45D8" w:rsidR="00537814" w:rsidRPr="00537814" w:rsidRDefault="00537814" w:rsidP="00537814">
            <w:pPr>
              <w:rPr>
                <w:i/>
                <w:sz w:val="22"/>
                <w:szCs w:val="22"/>
              </w:rPr>
            </w:pPr>
            <w:r w:rsidRPr="00537814">
              <w:rPr>
                <w:i/>
                <w:sz w:val="22"/>
                <w:szCs w:val="22"/>
              </w:rPr>
              <w:t>“</w:t>
            </w:r>
            <w:r>
              <w:rPr>
                <w:i/>
                <w:sz w:val="22"/>
                <w:szCs w:val="22"/>
              </w:rPr>
              <w:t>GAL proposed that t</w:t>
            </w:r>
            <w:r w:rsidRPr="00537814">
              <w:rPr>
                <w:i/>
                <w:sz w:val="22"/>
                <w:szCs w:val="22"/>
              </w:rPr>
              <w:t>he primary me</w:t>
            </w:r>
            <w:r>
              <w:rPr>
                <w:i/>
                <w:sz w:val="22"/>
                <w:szCs w:val="22"/>
              </w:rPr>
              <w:t>tric for assessing effects sh</w:t>
            </w:r>
            <w:r w:rsidRPr="00537814">
              <w:rPr>
                <w:i/>
                <w:sz w:val="22"/>
                <w:szCs w:val="22"/>
              </w:rPr>
              <w:t xml:space="preserve">ould be the areas of the day and night </w:t>
            </w:r>
            <w:proofErr w:type="spellStart"/>
            <w:r w:rsidRPr="00537814">
              <w:rPr>
                <w:i/>
                <w:sz w:val="22"/>
                <w:szCs w:val="22"/>
              </w:rPr>
              <w:t>LAeq</w:t>
            </w:r>
            <w:proofErr w:type="spellEnd"/>
            <w:r w:rsidRPr="00537814">
              <w:rPr>
                <w:i/>
                <w:sz w:val="22"/>
                <w:szCs w:val="22"/>
              </w:rPr>
              <w:t xml:space="preserve"> noise contours.</w:t>
            </w:r>
            <w:r>
              <w:rPr>
                <w:i/>
                <w:sz w:val="22"/>
                <w:szCs w:val="22"/>
              </w:rPr>
              <w:t xml:space="preserve"> </w:t>
            </w:r>
            <w:r w:rsidR="000E51EA">
              <w:rPr>
                <w:i/>
                <w:sz w:val="22"/>
                <w:szCs w:val="22"/>
              </w:rPr>
              <w:t>F</w:t>
            </w:r>
            <w:r w:rsidRPr="00537814">
              <w:rPr>
                <w:i/>
                <w:sz w:val="22"/>
                <w:szCs w:val="22"/>
              </w:rPr>
              <w:t xml:space="preserve">ollowing consideration of stakeholder views, Gatwick </w:t>
            </w:r>
            <w:r w:rsidRPr="00351F45">
              <w:rPr>
                <w:i/>
                <w:strike/>
                <w:sz w:val="22"/>
                <w:szCs w:val="22"/>
              </w:rPr>
              <w:t>agreed</w:t>
            </w:r>
            <w:r w:rsidRPr="00537814">
              <w:rPr>
                <w:i/>
                <w:sz w:val="22"/>
                <w:szCs w:val="22"/>
              </w:rPr>
              <w:t xml:space="preserve"> </w:t>
            </w:r>
            <w:r w:rsidR="00351F45">
              <w:rPr>
                <w:i/>
                <w:sz w:val="22"/>
                <w:szCs w:val="22"/>
              </w:rPr>
              <w:t xml:space="preserve">proposed </w:t>
            </w:r>
            <w:r w:rsidRPr="00537814">
              <w:rPr>
                <w:i/>
                <w:sz w:val="22"/>
                <w:szCs w:val="22"/>
              </w:rPr>
              <w:t>that additional secondary metrics, including N65 day and N60 night should also be reported by the noise envelope process</w:t>
            </w:r>
            <w:r w:rsidR="00351F45">
              <w:rPr>
                <w:i/>
                <w:sz w:val="22"/>
                <w:szCs w:val="22"/>
              </w:rPr>
              <w:t xml:space="preserve">, but it </w:t>
            </w:r>
            <w:r w:rsidRPr="00351F45">
              <w:rPr>
                <w:i/>
                <w:strike/>
                <w:sz w:val="22"/>
                <w:szCs w:val="22"/>
              </w:rPr>
              <w:t>Gatwick</w:t>
            </w:r>
            <w:r w:rsidRPr="00537814">
              <w:rPr>
                <w:i/>
                <w:sz w:val="22"/>
                <w:szCs w:val="22"/>
              </w:rPr>
              <w:t xml:space="preserve"> does not agree that these metrics should f</w:t>
            </w:r>
            <w:r w:rsidR="00351F45">
              <w:rPr>
                <w:i/>
                <w:sz w:val="22"/>
                <w:szCs w:val="22"/>
              </w:rPr>
              <w:t xml:space="preserve">orm part of the noise envelope.  </w:t>
            </w:r>
            <w:r w:rsidR="00D9736D">
              <w:rPr>
                <w:i/>
                <w:sz w:val="22"/>
                <w:szCs w:val="22"/>
              </w:rPr>
              <w:t xml:space="preserve">Communities </w:t>
            </w:r>
            <w:r w:rsidR="007127EE">
              <w:rPr>
                <w:i/>
                <w:sz w:val="22"/>
                <w:szCs w:val="22"/>
              </w:rPr>
              <w:t>did not agree with this proposal, arguing</w:t>
            </w:r>
            <w:r w:rsidR="00D9736D">
              <w:rPr>
                <w:i/>
                <w:sz w:val="22"/>
                <w:szCs w:val="22"/>
              </w:rPr>
              <w:t xml:space="preserve"> </w:t>
            </w:r>
            <w:r w:rsidR="00436DDE" w:rsidRPr="00436DDE">
              <w:rPr>
                <w:i/>
                <w:sz w:val="22"/>
                <w:szCs w:val="22"/>
              </w:rPr>
              <w:t>that the noise envelope should comprise a suite of metrics</w:t>
            </w:r>
            <w:r w:rsidR="007127EE">
              <w:rPr>
                <w:i/>
                <w:sz w:val="22"/>
                <w:szCs w:val="22"/>
              </w:rPr>
              <w:t xml:space="preserve">, in line with CAA guidance, each of which </w:t>
            </w:r>
            <w:r w:rsidR="00436DDE" w:rsidRPr="00436DDE">
              <w:rPr>
                <w:i/>
                <w:sz w:val="22"/>
                <w:szCs w:val="22"/>
              </w:rPr>
              <w:t>should have binding limits</w:t>
            </w:r>
            <w:r w:rsidR="00436DDE">
              <w:rPr>
                <w:i/>
                <w:sz w:val="22"/>
                <w:szCs w:val="22"/>
              </w:rPr>
              <w:t>.</w:t>
            </w:r>
            <w:r w:rsidRPr="00537814">
              <w:rPr>
                <w:i/>
                <w:sz w:val="22"/>
                <w:szCs w:val="22"/>
              </w:rPr>
              <w:t>”</w:t>
            </w:r>
            <w:r w:rsidR="007127EE" w:rsidRPr="007127EE">
              <w:rPr>
                <w:i/>
                <w:sz w:val="22"/>
                <w:szCs w:val="22"/>
              </w:rPr>
              <w:t xml:space="preserve"> </w:t>
            </w:r>
          </w:p>
          <w:p w14:paraId="42D56FE7" w14:textId="77777777" w:rsidR="000C5E6D" w:rsidRPr="005D4E97" w:rsidRDefault="000C5E6D" w:rsidP="005D4E97">
            <w:pPr>
              <w:pStyle w:val="ListParagraph"/>
              <w:ind w:left="0"/>
              <w:rPr>
                <w:sz w:val="22"/>
                <w:szCs w:val="22"/>
              </w:rPr>
            </w:pPr>
          </w:p>
        </w:tc>
      </w:tr>
      <w:tr w:rsidR="000C5E6D" w:rsidRPr="005D4E97" w14:paraId="3E65E099" w14:textId="77777777" w:rsidTr="00C5059F">
        <w:tc>
          <w:tcPr>
            <w:tcW w:w="400" w:type="dxa"/>
          </w:tcPr>
          <w:p w14:paraId="6365B3FC" w14:textId="5C764A42" w:rsidR="000C5E6D" w:rsidRDefault="001275AB" w:rsidP="005D4E97">
            <w:pPr>
              <w:pStyle w:val="ListParagraph"/>
              <w:ind w:left="0"/>
              <w:rPr>
                <w:sz w:val="22"/>
                <w:szCs w:val="22"/>
              </w:rPr>
            </w:pPr>
            <w:proofErr w:type="gramStart"/>
            <w:r>
              <w:rPr>
                <w:sz w:val="22"/>
                <w:szCs w:val="22"/>
              </w:rPr>
              <w:t>z</w:t>
            </w:r>
            <w:proofErr w:type="gramEnd"/>
          </w:p>
        </w:tc>
        <w:tc>
          <w:tcPr>
            <w:tcW w:w="1733" w:type="dxa"/>
          </w:tcPr>
          <w:p w14:paraId="4FB6B6E4" w14:textId="5411278C" w:rsidR="000C5E6D" w:rsidRPr="005D4E97" w:rsidRDefault="00DA2841" w:rsidP="005D4E97">
            <w:pPr>
              <w:pStyle w:val="ListParagraph"/>
              <w:ind w:left="0"/>
              <w:rPr>
                <w:sz w:val="22"/>
                <w:szCs w:val="22"/>
              </w:rPr>
            </w:pPr>
            <w:r>
              <w:rPr>
                <w:sz w:val="22"/>
                <w:szCs w:val="22"/>
              </w:rPr>
              <w:t>Slide 23</w:t>
            </w:r>
            <w:r w:rsidR="00BF078F">
              <w:rPr>
                <w:sz w:val="22"/>
                <w:szCs w:val="22"/>
              </w:rPr>
              <w:t>, second part</w:t>
            </w:r>
          </w:p>
        </w:tc>
        <w:tc>
          <w:tcPr>
            <w:tcW w:w="6054" w:type="dxa"/>
          </w:tcPr>
          <w:p w14:paraId="1AB716C2" w14:textId="36F3EAAC" w:rsidR="00BF078F" w:rsidRPr="00BF078F" w:rsidRDefault="00BF078F" w:rsidP="00DA2841">
            <w:pPr>
              <w:rPr>
                <w:bCs/>
                <w:sz w:val="22"/>
                <w:szCs w:val="22"/>
              </w:rPr>
            </w:pPr>
            <w:r>
              <w:rPr>
                <w:bCs/>
                <w:sz w:val="22"/>
                <w:szCs w:val="22"/>
              </w:rPr>
              <w:t xml:space="preserve">Add after second bold </w:t>
            </w:r>
            <w:proofErr w:type="spellStart"/>
            <w:r>
              <w:rPr>
                <w:bCs/>
                <w:sz w:val="22"/>
                <w:szCs w:val="22"/>
              </w:rPr>
              <w:t>para</w:t>
            </w:r>
            <w:proofErr w:type="spellEnd"/>
            <w:r>
              <w:rPr>
                <w:bCs/>
                <w:sz w:val="22"/>
                <w:szCs w:val="22"/>
              </w:rPr>
              <w:t xml:space="preserve">: </w:t>
            </w:r>
          </w:p>
          <w:p w14:paraId="3ECA9496" w14:textId="77777777" w:rsidR="00BF078F" w:rsidRPr="00BF078F" w:rsidRDefault="00BF078F" w:rsidP="00DA2841">
            <w:pPr>
              <w:rPr>
                <w:bCs/>
                <w:sz w:val="22"/>
                <w:szCs w:val="22"/>
              </w:rPr>
            </w:pPr>
          </w:p>
          <w:p w14:paraId="36AB2530" w14:textId="35C63D8A" w:rsidR="00BF078F" w:rsidRPr="00AA1FF8" w:rsidRDefault="00BF078F" w:rsidP="00DA2841">
            <w:pPr>
              <w:rPr>
                <w:bCs/>
                <w:i/>
                <w:sz w:val="22"/>
                <w:szCs w:val="22"/>
              </w:rPr>
            </w:pPr>
            <w:r>
              <w:rPr>
                <w:bCs/>
                <w:sz w:val="22"/>
                <w:szCs w:val="22"/>
              </w:rPr>
              <w:t>“</w:t>
            </w:r>
            <w:r w:rsidRPr="00AA1FF8">
              <w:rPr>
                <w:bCs/>
                <w:i/>
                <w:sz w:val="22"/>
                <w:szCs w:val="22"/>
              </w:rPr>
              <w:t xml:space="preserve">Communities did not agree with GAL’s </w:t>
            </w:r>
            <w:r w:rsidR="005A79A8" w:rsidRPr="00AA1FF8">
              <w:rPr>
                <w:bCs/>
                <w:i/>
                <w:sz w:val="22"/>
                <w:szCs w:val="22"/>
              </w:rPr>
              <w:t>summary of the purpose of reviews.  Amongst other thing</w:t>
            </w:r>
            <w:r w:rsidR="00AA1FF8">
              <w:rPr>
                <w:bCs/>
                <w:i/>
                <w:sz w:val="22"/>
                <w:szCs w:val="22"/>
              </w:rPr>
              <w:t>s they consider that review</w:t>
            </w:r>
            <w:r w:rsidR="005A79A8" w:rsidRPr="00AA1FF8">
              <w:rPr>
                <w:bCs/>
                <w:i/>
                <w:sz w:val="22"/>
                <w:szCs w:val="22"/>
              </w:rPr>
              <w:t>s</w:t>
            </w:r>
            <w:r w:rsidR="00AA1FF8">
              <w:rPr>
                <w:bCs/>
                <w:i/>
                <w:sz w:val="22"/>
                <w:szCs w:val="22"/>
              </w:rPr>
              <w:t xml:space="preserve"> should ensure that </w:t>
            </w:r>
            <w:r w:rsidR="00AA1FF8" w:rsidRPr="00AA1FF8">
              <w:rPr>
                <w:bCs/>
                <w:i/>
                <w:sz w:val="22"/>
                <w:szCs w:val="22"/>
              </w:rPr>
              <w:t>noise and noise impacts reduce contin</w:t>
            </w:r>
            <w:r w:rsidR="00AA1FF8">
              <w:rPr>
                <w:bCs/>
                <w:i/>
                <w:sz w:val="22"/>
                <w:szCs w:val="22"/>
              </w:rPr>
              <w:t xml:space="preserve">ually as airport capacity grows.  Communities also consider that reviews should ensure overall </w:t>
            </w:r>
            <w:r w:rsidR="00AA1FF8" w:rsidRPr="00AA1FF8">
              <w:rPr>
                <w:bCs/>
                <w:i/>
                <w:sz w:val="22"/>
                <w:szCs w:val="22"/>
                <w:lang w:val="en-GB"/>
              </w:rPr>
              <w:t xml:space="preserve">benefits </w:t>
            </w:r>
            <w:r w:rsidR="00AA1FF8">
              <w:rPr>
                <w:bCs/>
                <w:i/>
                <w:sz w:val="22"/>
                <w:szCs w:val="22"/>
                <w:lang w:val="en-GB"/>
              </w:rPr>
              <w:t xml:space="preserve">are shared </w:t>
            </w:r>
            <w:r w:rsidR="00AA1FF8" w:rsidRPr="00AA1FF8">
              <w:rPr>
                <w:bCs/>
                <w:i/>
                <w:sz w:val="22"/>
                <w:szCs w:val="22"/>
                <w:lang w:val="en-GB"/>
              </w:rPr>
              <w:t>between the aviation industry and local communities, as required by government policy</w:t>
            </w:r>
            <w:r w:rsidR="00AA1FF8">
              <w:rPr>
                <w:bCs/>
                <w:i/>
                <w:sz w:val="22"/>
                <w:szCs w:val="22"/>
                <w:lang w:val="en-GB"/>
              </w:rPr>
              <w:t xml:space="preserve">, not just any benefits arising from the </w:t>
            </w:r>
            <w:r w:rsidR="00AA1FF8" w:rsidRPr="00AA1FF8">
              <w:rPr>
                <w:bCs/>
                <w:i/>
                <w:sz w:val="22"/>
                <w:szCs w:val="22"/>
              </w:rPr>
              <w:t>introduction of new aircraft technology</w:t>
            </w:r>
            <w:r w:rsidR="00AA1FF8">
              <w:rPr>
                <w:bCs/>
                <w:i/>
                <w:sz w:val="22"/>
                <w:szCs w:val="22"/>
              </w:rPr>
              <w:t>.</w:t>
            </w:r>
            <w:r w:rsidR="00AA1FF8">
              <w:rPr>
                <w:bCs/>
                <w:i/>
                <w:sz w:val="22"/>
                <w:szCs w:val="22"/>
                <w:lang w:val="en-GB"/>
              </w:rPr>
              <w:t xml:space="preserve"> </w:t>
            </w:r>
            <w:r>
              <w:rPr>
                <w:bCs/>
                <w:sz w:val="22"/>
                <w:szCs w:val="22"/>
              </w:rPr>
              <w:t>”</w:t>
            </w:r>
          </w:p>
          <w:p w14:paraId="2F933BB2" w14:textId="77777777" w:rsidR="000C5E6D" w:rsidRPr="005D4E97" w:rsidRDefault="000C5E6D" w:rsidP="00AA1FF8">
            <w:pPr>
              <w:rPr>
                <w:sz w:val="22"/>
                <w:szCs w:val="22"/>
              </w:rPr>
            </w:pPr>
          </w:p>
        </w:tc>
      </w:tr>
      <w:tr w:rsidR="000C5E6D" w:rsidRPr="005D4E97" w14:paraId="66ADEC10" w14:textId="77777777" w:rsidTr="00C5059F">
        <w:tc>
          <w:tcPr>
            <w:tcW w:w="400" w:type="dxa"/>
          </w:tcPr>
          <w:p w14:paraId="65662B9D" w14:textId="75412F21" w:rsidR="000C5E6D" w:rsidRDefault="001275AB" w:rsidP="005D4E97">
            <w:pPr>
              <w:pStyle w:val="ListParagraph"/>
              <w:ind w:left="0"/>
              <w:rPr>
                <w:sz w:val="22"/>
                <w:szCs w:val="22"/>
              </w:rPr>
            </w:pPr>
            <w:proofErr w:type="spellStart"/>
            <w:proofErr w:type="gramStart"/>
            <w:r>
              <w:rPr>
                <w:sz w:val="22"/>
                <w:szCs w:val="22"/>
              </w:rPr>
              <w:t>aa</w:t>
            </w:r>
            <w:proofErr w:type="spellEnd"/>
            <w:proofErr w:type="gramEnd"/>
          </w:p>
        </w:tc>
        <w:tc>
          <w:tcPr>
            <w:tcW w:w="1733" w:type="dxa"/>
          </w:tcPr>
          <w:p w14:paraId="1BA424AB" w14:textId="04706E0E" w:rsidR="000C5E6D" w:rsidRPr="005D4E97" w:rsidRDefault="00E56D47" w:rsidP="005D4E97">
            <w:pPr>
              <w:pStyle w:val="ListParagraph"/>
              <w:ind w:left="0"/>
              <w:rPr>
                <w:sz w:val="22"/>
                <w:szCs w:val="22"/>
              </w:rPr>
            </w:pPr>
            <w:r>
              <w:rPr>
                <w:sz w:val="22"/>
                <w:szCs w:val="22"/>
              </w:rPr>
              <w:t>Slide 24</w:t>
            </w:r>
          </w:p>
        </w:tc>
        <w:tc>
          <w:tcPr>
            <w:tcW w:w="6054" w:type="dxa"/>
          </w:tcPr>
          <w:p w14:paraId="75AD6B38" w14:textId="77777777" w:rsidR="00E56D47" w:rsidRDefault="00E56D47" w:rsidP="00E56D47">
            <w:pPr>
              <w:rPr>
                <w:sz w:val="22"/>
                <w:szCs w:val="22"/>
              </w:rPr>
            </w:pPr>
            <w:r>
              <w:rPr>
                <w:sz w:val="22"/>
                <w:szCs w:val="22"/>
              </w:rPr>
              <w:t xml:space="preserve">Add: </w:t>
            </w:r>
          </w:p>
          <w:p w14:paraId="615A1E6E" w14:textId="77777777" w:rsidR="00E56D47" w:rsidRDefault="00E56D47" w:rsidP="00E56D47">
            <w:pPr>
              <w:rPr>
                <w:sz w:val="22"/>
                <w:szCs w:val="22"/>
              </w:rPr>
            </w:pPr>
          </w:p>
          <w:p w14:paraId="7F54340A" w14:textId="49118EF4" w:rsidR="00E56D47" w:rsidRDefault="00E56D47" w:rsidP="00E56D47">
            <w:pPr>
              <w:rPr>
                <w:i/>
                <w:sz w:val="22"/>
                <w:szCs w:val="22"/>
              </w:rPr>
            </w:pPr>
            <w:r w:rsidRPr="00E56D47">
              <w:rPr>
                <w:i/>
                <w:sz w:val="22"/>
                <w:szCs w:val="22"/>
              </w:rPr>
              <w:t>“Communities recognise the need for a review body</w:t>
            </w:r>
            <w:r>
              <w:rPr>
                <w:i/>
                <w:sz w:val="22"/>
                <w:szCs w:val="22"/>
              </w:rPr>
              <w:t xml:space="preserve">. They emphasis the importance of engagement on the body’s </w:t>
            </w:r>
            <w:r w:rsidRPr="00E56D47">
              <w:rPr>
                <w:i/>
                <w:sz w:val="22"/>
                <w:szCs w:val="22"/>
              </w:rPr>
              <w:t xml:space="preserve">decision-making framework </w:t>
            </w:r>
            <w:r>
              <w:rPr>
                <w:i/>
                <w:sz w:val="22"/>
                <w:szCs w:val="22"/>
              </w:rPr>
              <w:t xml:space="preserve">and note that </w:t>
            </w:r>
            <w:r w:rsidR="00DD002A">
              <w:rPr>
                <w:i/>
                <w:sz w:val="22"/>
                <w:szCs w:val="22"/>
              </w:rPr>
              <w:t>no proposals in this respe</w:t>
            </w:r>
            <w:r w:rsidR="00F748BC">
              <w:rPr>
                <w:i/>
                <w:sz w:val="22"/>
                <w:szCs w:val="22"/>
              </w:rPr>
              <w:t>ct have yet been put forward by GAL.”</w:t>
            </w:r>
          </w:p>
          <w:p w14:paraId="031F668D" w14:textId="6C18EC03" w:rsidR="000C5E6D" w:rsidRPr="005D4E97" w:rsidRDefault="000C5E6D" w:rsidP="00DD002A">
            <w:pPr>
              <w:rPr>
                <w:sz w:val="22"/>
                <w:szCs w:val="22"/>
              </w:rPr>
            </w:pPr>
          </w:p>
        </w:tc>
      </w:tr>
      <w:tr w:rsidR="000C5E6D" w:rsidRPr="005D4E97" w14:paraId="5D5A8D64" w14:textId="77777777" w:rsidTr="00C5059F">
        <w:tc>
          <w:tcPr>
            <w:tcW w:w="400" w:type="dxa"/>
          </w:tcPr>
          <w:p w14:paraId="39460E89" w14:textId="5BD8F560" w:rsidR="000C5E6D" w:rsidRDefault="001275AB" w:rsidP="005D4E97">
            <w:pPr>
              <w:pStyle w:val="ListParagraph"/>
              <w:ind w:left="0"/>
              <w:rPr>
                <w:sz w:val="22"/>
                <w:szCs w:val="22"/>
              </w:rPr>
            </w:pPr>
            <w:proofErr w:type="spellStart"/>
            <w:proofErr w:type="gramStart"/>
            <w:r>
              <w:rPr>
                <w:sz w:val="22"/>
                <w:szCs w:val="22"/>
              </w:rPr>
              <w:t>ab</w:t>
            </w:r>
            <w:proofErr w:type="spellEnd"/>
            <w:proofErr w:type="gramEnd"/>
          </w:p>
        </w:tc>
        <w:tc>
          <w:tcPr>
            <w:tcW w:w="1733" w:type="dxa"/>
          </w:tcPr>
          <w:p w14:paraId="4FA87DC1" w14:textId="1323270E" w:rsidR="000C5E6D" w:rsidRPr="005D4E97" w:rsidRDefault="00DD002A" w:rsidP="005D4E97">
            <w:pPr>
              <w:pStyle w:val="ListParagraph"/>
              <w:ind w:left="0"/>
              <w:rPr>
                <w:sz w:val="22"/>
                <w:szCs w:val="22"/>
              </w:rPr>
            </w:pPr>
            <w:r>
              <w:rPr>
                <w:sz w:val="22"/>
                <w:szCs w:val="22"/>
              </w:rPr>
              <w:t>Slide 25</w:t>
            </w:r>
          </w:p>
        </w:tc>
        <w:tc>
          <w:tcPr>
            <w:tcW w:w="6054" w:type="dxa"/>
          </w:tcPr>
          <w:p w14:paraId="0DED22BE" w14:textId="49967167" w:rsidR="000C5E6D" w:rsidRPr="005D4E97" w:rsidRDefault="00DD002A" w:rsidP="005D4E97">
            <w:pPr>
              <w:pStyle w:val="ListParagraph"/>
              <w:ind w:left="0"/>
              <w:rPr>
                <w:sz w:val="22"/>
                <w:szCs w:val="22"/>
              </w:rPr>
            </w:pPr>
            <w:r>
              <w:rPr>
                <w:sz w:val="22"/>
                <w:szCs w:val="22"/>
              </w:rPr>
              <w:t>Add at the end</w:t>
            </w:r>
            <w:r w:rsidR="00DB2064">
              <w:rPr>
                <w:sz w:val="22"/>
                <w:szCs w:val="22"/>
              </w:rPr>
              <w:t>:</w:t>
            </w:r>
            <w:r>
              <w:rPr>
                <w:sz w:val="22"/>
                <w:szCs w:val="22"/>
              </w:rPr>
              <w:t xml:space="preserve"> </w:t>
            </w:r>
            <w:r w:rsidRPr="00DD002A">
              <w:rPr>
                <w:i/>
                <w:sz w:val="22"/>
                <w:szCs w:val="22"/>
              </w:rPr>
              <w:t>“GAL has not provided feedback on these points.”</w:t>
            </w:r>
          </w:p>
        </w:tc>
      </w:tr>
    </w:tbl>
    <w:p w14:paraId="472C8B9B" w14:textId="77777777" w:rsidR="005D4E97" w:rsidRDefault="005D4E97" w:rsidP="005D4E97">
      <w:pPr>
        <w:pStyle w:val="ListParagraph"/>
        <w:ind w:left="426"/>
      </w:pPr>
    </w:p>
    <w:p w14:paraId="71B405D1" w14:textId="77777777" w:rsidR="005D4E97" w:rsidRDefault="005D4E97" w:rsidP="005D4E97">
      <w:pPr>
        <w:pStyle w:val="ListParagraph"/>
        <w:ind w:left="426"/>
      </w:pPr>
    </w:p>
    <w:p w14:paraId="3403E28A" w14:textId="77777777" w:rsidR="00370F42" w:rsidRDefault="00370F42" w:rsidP="00370F42"/>
    <w:p w14:paraId="1EBA741A" w14:textId="5419F8EC" w:rsidR="00370F42" w:rsidRDefault="00370F42" w:rsidP="00370F42"/>
    <w:sectPr w:rsidR="00370F42" w:rsidSect="006F1AE5">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E6217" w14:textId="77777777" w:rsidR="0032642E" w:rsidRDefault="0032642E" w:rsidP="00890A4B">
      <w:r>
        <w:separator/>
      </w:r>
    </w:p>
  </w:endnote>
  <w:endnote w:type="continuationSeparator" w:id="0">
    <w:p w14:paraId="5C3341C9" w14:textId="77777777" w:rsidR="0032642E" w:rsidRDefault="0032642E" w:rsidP="0089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4F5E" w14:textId="77777777" w:rsidR="0032642E" w:rsidRDefault="0032642E" w:rsidP="00890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B31C0" w14:textId="77777777" w:rsidR="0032642E" w:rsidRDefault="003264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82379" w14:textId="77777777" w:rsidR="0032642E" w:rsidRPr="00890A4B" w:rsidRDefault="0032642E" w:rsidP="00890A4B">
    <w:pPr>
      <w:pStyle w:val="Footer"/>
      <w:framePr w:wrap="around" w:vAnchor="text" w:hAnchor="margin" w:xAlign="center" w:y="1"/>
      <w:rPr>
        <w:rStyle w:val="PageNumber"/>
        <w:sz w:val="18"/>
        <w:szCs w:val="18"/>
      </w:rPr>
    </w:pPr>
    <w:r w:rsidRPr="00890A4B">
      <w:rPr>
        <w:rStyle w:val="PageNumber"/>
        <w:sz w:val="18"/>
        <w:szCs w:val="18"/>
      </w:rPr>
      <w:fldChar w:fldCharType="begin"/>
    </w:r>
    <w:r w:rsidRPr="00890A4B">
      <w:rPr>
        <w:rStyle w:val="PageNumber"/>
        <w:sz w:val="18"/>
        <w:szCs w:val="18"/>
      </w:rPr>
      <w:instrText xml:space="preserve">PAGE  </w:instrText>
    </w:r>
    <w:r w:rsidRPr="00890A4B">
      <w:rPr>
        <w:rStyle w:val="PageNumber"/>
        <w:sz w:val="18"/>
        <w:szCs w:val="18"/>
      </w:rPr>
      <w:fldChar w:fldCharType="separate"/>
    </w:r>
    <w:r w:rsidR="00F17E0A">
      <w:rPr>
        <w:rStyle w:val="PageNumber"/>
        <w:noProof/>
        <w:sz w:val="18"/>
        <w:szCs w:val="18"/>
      </w:rPr>
      <w:t>6</w:t>
    </w:r>
    <w:r w:rsidRPr="00890A4B">
      <w:rPr>
        <w:rStyle w:val="PageNumber"/>
        <w:sz w:val="18"/>
        <w:szCs w:val="18"/>
      </w:rPr>
      <w:fldChar w:fldCharType="end"/>
    </w:r>
  </w:p>
  <w:p w14:paraId="3478F913" w14:textId="77777777" w:rsidR="0032642E" w:rsidRDefault="003264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6502B" w14:textId="77777777" w:rsidR="0032642E" w:rsidRDefault="0032642E" w:rsidP="00890A4B">
      <w:r>
        <w:separator/>
      </w:r>
    </w:p>
  </w:footnote>
  <w:footnote w:type="continuationSeparator" w:id="0">
    <w:p w14:paraId="655BD931" w14:textId="77777777" w:rsidR="0032642E" w:rsidRDefault="0032642E" w:rsidP="00890A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914FD3"/>
    <w:multiLevelType w:val="hybridMultilevel"/>
    <w:tmpl w:val="3F24D9E8"/>
    <w:lvl w:ilvl="0" w:tplc="26B68C5E">
      <w:start w:val="1"/>
      <w:numFmt w:val="decimal"/>
      <w:lvlText w:val="%1."/>
      <w:lvlJc w:val="left"/>
      <w:pPr>
        <w:tabs>
          <w:tab w:val="num" w:pos="720"/>
        </w:tabs>
        <w:ind w:left="720" w:hanging="360"/>
      </w:pPr>
    </w:lvl>
    <w:lvl w:ilvl="1" w:tplc="84427118" w:tentative="1">
      <w:start w:val="1"/>
      <w:numFmt w:val="decimal"/>
      <w:lvlText w:val="%2."/>
      <w:lvlJc w:val="left"/>
      <w:pPr>
        <w:tabs>
          <w:tab w:val="num" w:pos="1440"/>
        </w:tabs>
        <w:ind w:left="1440" w:hanging="360"/>
      </w:pPr>
    </w:lvl>
    <w:lvl w:ilvl="2" w:tplc="129083BA" w:tentative="1">
      <w:start w:val="1"/>
      <w:numFmt w:val="decimal"/>
      <w:lvlText w:val="%3."/>
      <w:lvlJc w:val="left"/>
      <w:pPr>
        <w:tabs>
          <w:tab w:val="num" w:pos="2160"/>
        </w:tabs>
        <w:ind w:left="2160" w:hanging="360"/>
      </w:pPr>
    </w:lvl>
    <w:lvl w:ilvl="3" w:tplc="DC900F3E" w:tentative="1">
      <w:start w:val="1"/>
      <w:numFmt w:val="decimal"/>
      <w:lvlText w:val="%4."/>
      <w:lvlJc w:val="left"/>
      <w:pPr>
        <w:tabs>
          <w:tab w:val="num" w:pos="2880"/>
        </w:tabs>
        <w:ind w:left="2880" w:hanging="360"/>
      </w:pPr>
    </w:lvl>
    <w:lvl w:ilvl="4" w:tplc="FE3AB7DC" w:tentative="1">
      <w:start w:val="1"/>
      <w:numFmt w:val="decimal"/>
      <w:lvlText w:val="%5."/>
      <w:lvlJc w:val="left"/>
      <w:pPr>
        <w:tabs>
          <w:tab w:val="num" w:pos="3600"/>
        </w:tabs>
        <w:ind w:left="3600" w:hanging="360"/>
      </w:pPr>
    </w:lvl>
    <w:lvl w:ilvl="5" w:tplc="E7B823E2" w:tentative="1">
      <w:start w:val="1"/>
      <w:numFmt w:val="decimal"/>
      <w:lvlText w:val="%6."/>
      <w:lvlJc w:val="left"/>
      <w:pPr>
        <w:tabs>
          <w:tab w:val="num" w:pos="4320"/>
        </w:tabs>
        <w:ind w:left="4320" w:hanging="360"/>
      </w:pPr>
    </w:lvl>
    <w:lvl w:ilvl="6" w:tplc="1690ED68" w:tentative="1">
      <w:start w:val="1"/>
      <w:numFmt w:val="decimal"/>
      <w:lvlText w:val="%7."/>
      <w:lvlJc w:val="left"/>
      <w:pPr>
        <w:tabs>
          <w:tab w:val="num" w:pos="5040"/>
        </w:tabs>
        <w:ind w:left="5040" w:hanging="360"/>
      </w:pPr>
    </w:lvl>
    <w:lvl w:ilvl="7" w:tplc="4AE6D140" w:tentative="1">
      <w:start w:val="1"/>
      <w:numFmt w:val="decimal"/>
      <w:lvlText w:val="%8."/>
      <w:lvlJc w:val="left"/>
      <w:pPr>
        <w:tabs>
          <w:tab w:val="num" w:pos="5760"/>
        </w:tabs>
        <w:ind w:left="5760" w:hanging="360"/>
      </w:pPr>
    </w:lvl>
    <w:lvl w:ilvl="8" w:tplc="21342B72" w:tentative="1">
      <w:start w:val="1"/>
      <w:numFmt w:val="decimal"/>
      <w:lvlText w:val="%9."/>
      <w:lvlJc w:val="left"/>
      <w:pPr>
        <w:tabs>
          <w:tab w:val="num" w:pos="6480"/>
        </w:tabs>
        <w:ind w:left="6480" w:hanging="360"/>
      </w:pPr>
    </w:lvl>
  </w:abstractNum>
  <w:abstractNum w:abstractNumId="2">
    <w:nsid w:val="2F297944"/>
    <w:multiLevelType w:val="hybridMultilevel"/>
    <w:tmpl w:val="F9CEF4C4"/>
    <w:lvl w:ilvl="0" w:tplc="A942BF1C">
      <w:start w:val="1"/>
      <w:numFmt w:val="bullet"/>
      <w:lvlText w:val="•"/>
      <w:lvlJc w:val="left"/>
      <w:pPr>
        <w:tabs>
          <w:tab w:val="num" w:pos="720"/>
        </w:tabs>
        <w:ind w:left="720" w:hanging="360"/>
      </w:pPr>
      <w:rPr>
        <w:rFonts w:ascii="Arial" w:hAnsi="Arial" w:hint="default"/>
      </w:rPr>
    </w:lvl>
    <w:lvl w:ilvl="1" w:tplc="2440FC7A" w:tentative="1">
      <w:start w:val="1"/>
      <w:numFmt w:val="bullet"/>
      <w:lvlText w:val="•"/>
      <w:lvlJc w:val="left"/>
      <w:pPr>
        <w:tabs>
          <w:tab w:val="num" w:pos="1440"/>
        </w:tabs>
        <w:ind w:left="1440" w:hanging="360"/>
      </w:pPr>
      <w:rPr>
        <w:rFonts w:ascii="Arial" w:hAnsi="Arial" w:hint="default"/>
      </w:rPr>
    </w:lvl>
    <w:lvl w:ilvl="2" w:tplc="6B9EEA70" w:tentative="1">
      <w:start w:val="1"/>
      <w:numFmt w:val="bullet"/>
      <w:lvlText w:val="•"/>
      <w:lvlJc w:val="left"/>
      <w:pPr>
        <w:tabs>
          <w:tab w:val="num" w:pos="2160"/>
        </w:tabs>
        <w:ind w:left="2160" w:hanging="360"/>
      </w:pPr>
      <w:rPr>
        <w:rFonts w:ascii="Arial" w:hAnsi="Arial" w:hint="default"/>
      </w:rPr>
    </w:lvl>
    <w:lvl w:ilvl="3" w:tplc="4C18C190" w:tentative="1">
      <w:start w:val="1"/>
      <w:numFmt w:val="bullet"/>
      <w:lvlText w:val="•"/>
      <w:lvlJc w:val="left"/>
      <w:pPr>
        <w:tabs>
          <w:tab w:val="num" w:pos="2880"/>
        </w:tabs>
        <w:ind w:left="2880" w:hanging="360"/>
      </w:pPr>
      <w:rPr>
        <w:rFonts w:ascii="Arial" w:hAnsi="Arial" w:hint="default"/>
      </w:rPr>
    </w:lvl>
    <w:lvl w:ilvl="4" w:tplc="2DDC9E32" w:tentative="1">
      <w:start w:val="1"/>
      <w:numFmt w:val="bullet"/>
      <w:lvlText w:val="•"/>
      <w:lvlJc w:val="left"/>
      <w:pPr>
        <w:tabs>
          <w:tab w:val="num" w:pos="3600"/>
        </w:tabs>
        <w:ind w:left="3600" w:hanging="360"/>
      </w:pPr>
      <w:rPr>
        <w:rFonts w:ascii="Arial" w:hAnsi="Arial" w:hint="default"/>
      </w:rPr>
    </w:lvl>
    <w:lvl w:ilvl="5" w:tplc="86F4A3FA" w:tentative="1">
      <w:start w:val="1"/>
      <w:numFmt w:val="bullet"/>
      <w:lvlText w:val="•"/>
      <w:lvlJc w:val="left"/>
      <w:pPr>
        <w:tabs>
          <w:tab w:val="num" w:pos="4320"/>
        </w:tabs>
        <w:ind w:left="4320" w:hanging="360"/>
      </w:pPr>
      <w:rPr>
        <w:rFonts w:ascii="Arial" w:hAnsi="Arial" w:hint="default"/>
      </w:rPr>
    </w:lvl>
    <w:lvl w:ilvl="6" w:tplc="27506FBE" w:tentative="1">
      <w:start w:val="1"/>
      <w:numFmt w:val="bullet"/>
      <w:lvlText w:val="•"/>
      <w:lvlJc w:val="left"/>
      <w:pPr>
        <w:tabs>
          <w:tab w:val="num" w:pos="5040"/>
        </w:tabs>
        <w:ind w:left="5040" w:hanging="360"/>
      </w:pPr>
      <w:rPr>
        <w:rFonts w:ascii="Arial" w:hAnsi="Arial" w:hint="default"/>
      </w:rPr>
    </w:lvl>
    <w:lvl w:ilvl="7" w:tplc="47B09F10" w:tentative="1">
      <w:start w:val="1"/>
      <w:numFmt w:val="bullet"/>
      <w:lvlText w:val="•"/>
      <w:lvlJc w:val="left"/>
      <w:pPr>
        <w:tabs>
          <w:tab w:val="num" w:pos="5760"/>
        </w:tabs>
        <w:ind w:left="5760" w:hanging="360"/>
      </w:pPr>
      <w:rPr>
        <w:rFonts w:ascii="Arial" w:hAnsi="Arial" w:hint="default"/>
      </w:rPr>
    </w:lvl>
    <w:lvl w:ilvl="8" w:tplc="9E9A2360" w:tentative="1">
      <w:start w:val="1"/>
      <w:numFmt w:val="bullet"/>
      <w:lvlText w:val="•"/>
      <w:lvlJc w:val="left"/>
      <w:pPr>
        <w:tabs>
          <w:tab w:val="num" w:pos="6480"/>
        </w:tabs>
        <w:ind w:left="6480" w:hanging="360"/>
      </w:pPr>
      <w:rPr>
        <w:rFonts w:ascii="Arial" w:hAnsi="Arial" w:hint="default"/>
      </w:rPr>
    </w:lvl>
  </w:abstractNum>
  <w:abstractNum w:abstractNumId="3">
    <w:nsid w:val="46794695"/>
    <w:multiLevelType w:val="hybridMultilevel"/>
    <w:tmpl w:val="1A7E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64891"/>
    <w:multiLevelType w:val="hybridMultilevel"/>
    <w:tmpl w:val="3616443E"/>
    <w:lvl w:ilvl="0" w:tplc="87761BA0">
      <w:start w:val="1"/>
      <w:numFmt w:val="decimal"/>
      <w:lvlText w:val="%1."/>
      <w:lvlJc w:val="left"/>
      <w:pPr>
        <w:tabs>
          <w:tab w:val="num" w:pos="720"/>
        </w:tabs>
        <w:ind w:left="720" w:hanging="360"/>
      </w:pPr>
    </w:lvl>
    <w:lvl w:ilvl="1" w:tplc="27B0EE5C" w:tentative="1">
      <w:start w:val="1"/>
      <w:numFmt w:val="decimal"/>
      <w:lvlText w:val="%2."/>
      <w:lvlJc w:val="left"/>
      <w:pPr>
        <w:tabs>
          <w:tab w:val="num" w:pos="1440"/>
        </w:tabs>
        <w:ind w:left="1440" w:hanging="360"/>
      </w:pPr>
    </w:lvl>
    <w:lvl w:ilvl="2" w:tplc="C532844E" w:tentative="1">
      <w:start w:val="1"/>
      <w:numFmt w:val="decimal"/>
      <w:lvlText w:val="%3."/>
      <w:lvlJc w:val="left"/>
      <w:pPr>
        <w:tabs>
          <w:tab w:val="num" w:pos="2160"/>
        </w:tabs>
        <w:ind w:left="2160" w:hanging="360"/>
      </w:pPr>
    </w:lvl>
    <w:lvl w:ilvl="3" w:tplc="0A024A26" w:tentative="1">
      <w:start w:val="1"/>
      <w:numFmt w:val="decimal"/>
      <w:lvlText w:val="%4."/>
      <w:lvlJc w:val="left"/>
      <w:pPr>
        <w:tabs>
          <w:tab w:val="num" w:pos="2880"/>
        </w:tabs>
        <w:ind w:left="2880" w:hanging="360"/>
      </w:pPr>
    </w:lvl>
    <w:lvl w:ilvl="4" w:tplc="084245A2" w:tentative="1">
      <w:start w:val="1"/>
      <w:numFmt w:val="decimal"/>
      <w:lvlText w:val="%5."/>
      <w:lvlJc w:val="left"/>
      <w:pPr>
        <w:tabs>
          <w:tab w:val="num" w:pos="3600"/>
        </w:tabs>
        <w:ind w:left="3600" w:hanging="360"/>
      </w:pPr>
    </w:lvl>
    <w:lvl w:ilvl="5" w:tplc="A4EEBAB6" w:tentative="1">
      <w:start w:val="1"/>
      <w:numFmt w:val="decimal"/>
      <w:lvlText w:val="%6."/>
      <w:lvlJc w:val="left"/>
      <w:pPr>
        <w:tabs>
          <w:tab w:val="num" w:pos="4320"/>
        </w:tabs>
        <w:ind w:left="4320" w:hanging="360"/>
      </w:pPr>
    </w:lvl>
    <w:lvl w:ilvl="6" w:tplc="5B842CAA" w:tentative="1">
      <w:start w:val="1"/>
      <w:numFmt w:val="decimal"/>
      <w:lvlText w:val="%7."/>
      <w:lvlJc w:val="left"/>
      <w:pPr>
        <w:tabs>
          <w:tab w:val="num" w:pos="5040"/>
        </w:tabs>
        <w:ind w:left="5040" w:hanging="360"/>
      </w:pPr>
    </w:lvl>
    <w:lvl w:ilvl="7" w:tplc="E79E5F9A" w:tentative="1">
      <w:start w:val="1"/>
      <w:numFmt w:val="decimal"/>
      <w:lvlText w:val="%8."/>
      <w:lvlJc w:val="left"/>
      <w:pPr>
        <w:tabs>
          <w:tab w:val="num" w:pos="5760"/>
        </w:tabs>
        <w:ind w:left="5760" w:hanging="360"/>
      </w:pPr>
    </w:lvl>
    <w:lvl w:ilvl="8" w:tplc="0D24A1AE" w:tentative="1">
      <w:start w:val="1"/>
      <w:numFmt w:val="decimal"/>
      <w:lvlText w:val="%9."/>
      <w:lvlJc w:val="left"/>
      <w:pPr>
        <w:tabs>
          <w:tab w:val="num" w:pos="6480"/>
        </w:tabs>
        <w:ind w:left="6480" w:hanging="360"/>
      </w:pPr>
    </w:lvl>
  </w:abstractNum>
  <w:abstractNum w:abstractNumId="5">
    <w:nsid w:val="5C240C99"/>
    <w:multiLevelType w:val="hybridMultilevel"/>
    <w:tmpl w:val="D1A0663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9D"/>
    <w:rsid w:val="00006AD0"/>
    <w:rsid w:val="00035870"/>
    <w:rsid w:val="00064AC0"/>
    <w:rsid w:val="000B5040"/>
    <w:rsid w:val="000C5E6D"/>
    <w:rsid w:val="000E51EA"/>
    <w:rsid w:val="001275AB"/>
    <w:rsid w:val="001672EC"/>
    <w:rsid w:val="001E48AA"/>
    <w:rsid w:val="00214FC4"/>
    <w:rsid w:val="002221AB"/>
    <w:rsid w:val="0027473C"/>
    <w:rsid w:val="00280C7E"/>
    <w:rsid w:val="00280EC3"/>
    <w:rsid w:val="00283284"/>
    <w:rsid w:val="0028364F"/>
    <w:rsid w:val="00292194"/>
    <w:rsid w:val="00293F83"/>
    <w:rsid w:val="002D2BB6"/>
    <w:rsid w:val="0032642E"/>
    <w:rsid w:val="00351AF2"/>
    <w:rsid w:val="00351F45"/>
    <w:rsid w:val="00370F42"/>
    <w:rsid w:val="003A4012"/>
    <w:rsid w:val="00436DDE"/>
    <w:rsid w:val="0047057C"/>
    <w:rsid w:val="00497517"/>
    <w:rsid w:val="004B1429"/>
    <w:rsid w:val="00503E38"/>
    <w:rsid w:val="00537814"/>
    <w:rsid w:val="00552A7F"/>
    <w:rsid w:val="0056544B"/>
    <w:rsid w:val="00592A6C"/>
    <w:rsid w:val="005A0FF6"/>
    <w:rsid w:val="005A79A8"/>
    <w:rsid w:val="005D4E97"/>
    <w:rsid w:val="00667F16"/>
    <w:rsid w:val="006766AF"/>
    <w:rsid w:val="006E090E"/>
    <w:rsid w:val="006F1AE5"/>
    <w:rsid w:val="007127EE"/>
    <w:rsid w:val="007375C6"/>
    <w:rsid w:val="007645E4"/>
    <w:rsid w:val="007734A7"/>
    <w:rsid w:val="007B557E"/>
    <w:rsid w:val="007C264C"/>
    <w:rsid w:val="008160BA"/>
    <w:rsid w:val="008267D0"/>
    <w:rsid w:val="008803E7"/>
    <w:rsid w:val="0088055E"/>
    <w:rsid w:val="00890A4B"/>
    <w:rsid w:val="008927BF"/>
    <w:rsid w:val="008975D2"/>
    <w:rsid w:val="008F206E"/>
    <w:rsid w:val="009052AD"/>
    <w:rsid w:val="00975490"/>
    <w:rsid w:val="00977A57"/>
    <w:rsid w:val="009F4F1D"/>
    <w:rsid w:val="00A01014"/>
    <w:rsid w:val="00AA1FF8"/>
    <w:rsid w:val="00AA39E9"/>
    <w:rsid w:val="00AD09E3"/>
    <w:rsid w:val="00B24CA2"/>
    <w:rsid w:val="00B8736C"/>
    <w:rsid w:val="00BB041B"/>
    <w:rsid w:val="00BC0B88"/>
    <w:rsid w:val="00BE37C4"/>
    <w:rsid w:val="00BF078F"/>
    <w:rsid w:val="00C35728"/>
    <w:rsid w:val="00C43ACD"/>
    <w:rsid w:val="00C4497F"/>
    <w:rsid w:val="00C5059F"/>
    <w:rsid w:val="00C53386"/>
    <w:rsid w:val="00CF14B7"/>
    <w:rsid w:val="00D158A7"/>
    <w:rsid w:val="00D17E50"/>
    <w:rsid w:val="00D7023D"/>
    <w:rsid w:val="00D9736D"/>
    <w:rsid w:val="00DA2841"/>
    <w:rsid w:val="00DB2064"/>
    <w:rsid w:val="00DD002A"/>
    <w:rsid w:val="00DE79D1"/>
    <w:rsid w:val="00DE7BFB"/>
    <w:rsid w:val="00E06E01"/>
    <w:rsid w:val="00E3146E"/>
    <w:rsid w:val="00E34989"/>
    <w:rsid w:val="00E56D47"/>
    <w:rsid w:val="00E624E5"/>
    <w:rsid w:val="00E646C9"/>
    <w:rsid w:val="00EA120C"/>
    <w:rsid w:val="00EA2898"/>
    <w:rsid w:val="00EA3B8D"/>
    <w:rsid w:val="00EA67FB"/>
    <w:rsid w:val="00ED4179"/>
    <w:rsid w:val="00F13529"/>
    <w:rsid w:val="00F15AC3"/>
    <w:rsid w:val="00F17E0A"/>
    <w:rsid w:val="00F54A30"/>
    <w:rsid w:val="00F563D3"/>
    <w:rsid w:val="00F70496"/>
    <w:rsid w:val="00F7319D"/>
    <w:rsid w:val="00F748BC"/>
    <w:rsid w:val="00F750AE"/>
    <w:rsid w:val="00F8636A"/>
    <w:rsid w:val="00FC2704"/>
    <w:rsid w:val="00FF0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3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19D"/>
    <w:pPr>
      <w:ind w:left="720"/>
      <w:contextualSpacing/>
    </w:pPr>
  </w:style>
  <w:style w:type="paragraph" w:styleId="BalloonText">
    <w:name w:val="Balloon Text"/>
    <w:basedOn w:val="Normal"/>
    <w:link w:val="BalloonTextChar"/>
    <w:uiPriority w:val="99"/>
    <w:semiHidden/>
    <w:unhideWhenUsed/>
    <w:rsid w:val="00F731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19D"/>
    <w:rPr>
      <w:rFonts w:ascii="Lucida Grande" w:hAnsi="Lucida Grande" w:cs="Lucida Grande"/>
      <w:sz w:val="18"/>
      <w:szCs w:val="18"/>
    </w:rPr>
  </w:style>
  <w:style w:type="table" w:styleId="TableGrid">
    <w:name w:val="Table Grid"/>
    <w:basedOn w:val="TableNormal"/>
    <w:uiPriority w:val="59"/>
    <w:rsid w:val="005D4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645E4"/>
    <w:rPr>
      <w:rFonts w:ascii="Times New Roman" w:hAnsi="Times New Roman" w:cs="Times New Roman"/>
    </w:rPr>
  </w:style>
  <w:style w:type="paragraph" w:styleId="Footer">
    <w:name w:val="footer"/>
    <w:basedOn w:val="Normal"/>
    <w:link w:val="FooterChar"/>
    <w:uiPriority w:val="99"/>
    <w:unhideWhenUsed/>
    <w:rsid w:val="00890A4B"/>
    <w:pPr>
      <w:tabs>
        <w:tab w:val="center" w:pos="4320"/>
        <w:tab w:val="right" w:pos="8640"/>
      </w:tabs>
    </w:pPr>
  </w:style>
  <w:style w:type="character" w:customStyle="1" w:styleId="FooterChar">
    <w:name w:val="Footer Char"/>
    <w:basedOn w:val="DefaultParagraphFont"/>
    <w:link w:val="Footer"/>
    <w:uiPriority w:val="99"/>
    <w:rsid w:val="00890A4B"/>
  </w:style>
  <w:style w:type="character" w:styleId="PageNumber">
    <w:name w:val="page number"/>
    <w:basedOn w:val="DefaultParagraphFont"/>
    <w:uiPriority w:val="99"/>
    <w:semiHidden/>
    <w:unhideWhenUsed/>
    <w:rsid w:val="00890A4B"/>
  </w:style>
  <w:style w:type="paragraph" w:styleId="Header">
    <w:name w:val="header"/>
    <w:basedOn w:val="Normal"/>
    <w:link w:val="HeaderChar"/>
    <w:uiPriority w:val="99"/>
    <w:unhideWhenUsed/>
    <w:rsid w:val="00890A4B"/>
    <w:pPr>
      <w:tabs>
        <w:tab w:val="center" w:pos="4320"/>
        <w:tab w:val="right" w:pos="8640"/>
      </w:tabs>
    </w:pPr>
  </w:style>
  <w:style w:type="character" w:customStyle="1" w:styleId="HeaderChar">
    <w:name w:val="Header Char"/>
    <w:basedOn w:val="DefaultParagraphFont"/>
    <w:link w:val="Header"/>
    <w:uiPriority w:val="99"/>
    <w:rsid w:val="00890A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19D"/>
    <w:pPr>
      <w:ind w:left="720"/>
      <w:contextualSpacing/>
    </w:pPr>
  </w:style>
  <w:style w:type="paragraph" w:styleId="BalloonText">
    <w:name w:val="Balloon Text"/>
    <w:basedOn w:val="Normal"/>
    <w:link w:val="BalloonTextChar"/>
    <w:uiPriority w:val="99"/>
    <w:semiHidden/>
    <w:unhideWhenUsed/>
    <w:rsid w:val="00F731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19D"/>
    <w:rPr>
      <w:rFonts w:ascii="Lucida Grande" w:hAnsi="Lucida Grande" w:cs="Lucida Grande"/>
      <w:sz w:val="18"/>
      <w:szCs w:val="18"/>
    </w:rPr>
  </w:style>
  <w:style w:type="table" w:styleId="TableGrid">
    <w:name w:val="Table Grid"/>
    <w:basedOn w:val="TableNormal"/>
    <w:uiPriority w:val="59"/>
    <w:rsid w:val="005D4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645E4"/>
    <w:rPr>
      <w:rFonts w:ascii="Times New Roman" w:hAnsi="Times New Roman" w:cs="Times New Roman"/>
    </w:rPr>
  </w:style>
  <w:style w:type="paragraph" w:styleId="Footer">
    <w:name w:val="footer"/>
    <w:basedOn w:val="Normal"/>
    <w:link w:val="FooterChar"/>
    <w:uiPriority w:val="99"/>
    <w:unhideWhenUsed/>
    <w:rsid w:val="00890A4B"/>
    <w:pPr>
      <w:tabs>
        <w:tab w:val="center" w:pos="4320"/>
        <w:tab w:val="right" w:pos="8640"/>
      </w:tabs>
    </w:pPr>
  </w:style>
  <w:style w:type="character" w:customStyle="1" w:styleId="FooterChar">
    <w:name w:val="Footer Char"/>
    <w:basedOn w:val="DefaultParagraphFont"/>
    <w:link w:val="Footer"/>
    <w:uiPriority w:val="99"/>
    <w:rsid w:val="00890A4B"/>
  </w:style>
  <w:style w:type="character" w:styleId="PageNumber">
    <w:name w:val="page number"/>
    <w:basedOn w:val="DefaultParagraphFont"/>
    <w:uiPriority w:val="99"/>
    <w:semiHidden/>
    <w:unhideWhenUsed/>
    <w:rsid w:val="00890A4B"/>
  </w:style>
  <w:style w:type="paragraph" w:styleId="Header">
    <w:name w:val="header"/>
    <w:basedOn w:val="Normal"/>
    <w:link w:val="HeaderChar"/>
    <w:uiPriority w:val="99"/>
    <w:unhideWhenUsed/>
    <w:rsid w:val="00890A4B"/>
    <w:pPr>
      <w:tabs>
        <w:tab w:val="center" w:pos="4320"/>
        <w:tab w:val="right" w:pos="8640"/>
      </w:tabs>
    </w:pPr>
  </w:style>
  <w:style w:type="character" w:customStyle="1" w:styleId="HeaderChar">
    <w:name w:val="Header Char"/>
    <w:basedOn w:val="DefaultParagraphFont"/>
    <w:link w:val="Header"/>
    <w:uiPriority w:val="99"/>
    <w:rsid w:val="0089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4549">
      <w:bodyDiv w:val="1"/>
      <w:marLeft w:val="0"/>
      <w:marRight w:val="0"/>
      <w:marTop w:val="0"/>
      <w:marBottom w:val="0"/>
      <w:divBdr>
        <w:top w:val="none" w:sz="0" w:space="0" w:color="auto"/>
        <w:left w:val="none" w:sz="0" w:space="0" w:color="auto"/>
        <w:bottom w:val="none" w:sz="0" w:space="0" w:color="auto"/>
        <w:right w:val="none" w:sz="0" w:space="0" w:color="auto"/>
      </w:divBdr>
      <w:divsChild>
        <w:div w:id="1884753736">
          <w:marLeft w:val="0"/>
          <w:marRight w:val="0"/>
          <w:marTop w:val="0"/>
          <w:marBottom w:val="0"/>
          <w:divBdr>
            <w:top w:val="none" w:sz="0" w:space="0" w:color="auto"/>
            <w:left w:val="none" w:sz="0" w:space="0" w:color="auto"/>
            <w:bottom w:val="none" w:sz="0" w:space="0" w:color="auto"/>
            <w:right w:val="none" w:sz="0" w:space="0" w:color="auto"/>
          </w:divBdr>
        </w:div>
        <w:div w:id="1021975956">
          <w:marLeft w:val="0"/>
          <w:marRight w:val="0"/>
          <w:marTop w:val="0"/>
          <w:marBottom w:val="0"/>
          <w:divBdr>
            <w:top w:val="none" w:sz="0" w:space="0" w:color="auto"/>
            <w:left w:val="none" w:sz="0" w:space="0" w:color="auto"/>
            <w:bottom w:val="none" w:sz="0" w:space="0" w:color="auto"/>
            <w:right w:val="none" w:sz="0" w:space="0" w:color="auto"/>
          </w:divBdr>
        </w:div>
        <w:div w:id="1021320856">
          <w:marLeft w:val="0"/>
          <w:marRight w:val="0"/>
          <w:marTop w:val="0"/>
          <w:marBottom w:val="0"/>
          <w:divBdr>
            <w:top w:val="none" w:sz="0" w:space="0" w:color="auto"/>
            <w:left w:val="none" w:sz="0" w:space="0" w:color="auto"/>
            <w:bottom w:val="none" w:sz="0" w:space="0" w:color="auto"/>
            <w:right w:val="none" w:sz="0" w:space="0" w:color="auto"/>
          </w:divBdr>
        </w:div>
        <w:div w:id="1023628698">
          <w:marLeft w:val="0"/>
          <w:marRight w:val="0"/>
          <w:marTop w:val="0"/>
          <w:marBottom w:val="0"/>
          <w:divBdr>
            <w:top w:val="none" w:sz="0" w:space="0" w:color="auto"/>
            <w:left w:val="none" w:sz="0" w:space="0" w:color="auto"/>
            <w:bottom w:val="none" w:sz="0" w:space="0" w:color="auto"/>
            <w:right w:val="none" w:sz="0" w:space="0" w:color="auto"/>
          </w:divBdr>
        </w:div>
        <w:div w:id="307588673">
          <w:marLeft w:val="0"/>
          <w:marRight w:val="0"/>
          <w:marTop w:val="0"/>
          <w:marBottom w:val="0"/>
          <w:divBdr>
            <w:top w:val="none" w:sz="0" w:space="0" w:color="auto"/>
            <w:left w:val="none" w:sz="0" w:space="0" w:color="auto"/>
            <w:bottom w:val="none" w:sz="0" w:space="0" w:color="auto"/>
            <w:right w:val="none" w:sz="0" w:space="0" w:color="auto"/>
          </w:divBdr>
        </w:div>
        <w:div w:id="1424758604">
          <w:marLeft w:val="0"/>
          <w:marRight w:val="0"/>
          <w:marTop w:val="0"/>
          <w:marBottom w:val="0"/>
          <w:divBdr>
            <w:top w:val="none" w:sz="0" w:space="0" w:color="auto"/>
            <w:left w:val="none" w:sz="0" w:space="0" w:color="auto"/>
            <w:bottom w:val="none" w:sz="0" w:space="0" w:color="auto"/>
            <w:right w:val="none" w:sz="0" w:space="0" w:color="auto"/>
          </w:divBdr>
        </w:div>
        <w:div w:id="1102605280">
          <w:marLeft w:val="0"/>
          <w:marRight w:val="0"/>
          <w:marTop w:val="0"/>
          <w:marBottom w:val="0"/>
          <w:divBdr>
            <w:top w:val="none" w:sz="0" w:space="0" w:color="auto"/>
            <w:left w:val="none" w:sz="0" w:space="0" w:color="auto"/>
            <w:bottom w:val="none" w:sz="0" w:space="0" w:color="auto"/>
            <w:right w:val="none" w:sz="0" w:space="0" w:color="auto"/>
          </w:divBdr>
        </w:div>
        <w:div w:id="114060815">
          <w:marLeft w:val="0"/>
          <w:marRight w:val="0"/>
          <w:marTop w:val="0"/>
          <w:marBottom w:val="0"/>
          <w:divBdr>
            <w:top w:val="none" w:sz="0" w:space="0" w:color="auto"/>
            <w:left w:val="none" w:sz="0" w:space="0" w:color="auto"/>
            <w:bottom w:val="none" w:sz="0" w:space="0" w:color="auto"/>
            <w:right w:val="none" w:sz="0" w:space="0" w:color="auto"/>
          </w:divBdr>
        </w:div>
        <w:div w:id="1313219117">
          <w:marLeft w:val="0"/>
          <w:marRight w:val="0"/>
          <w:marTop w:val="0"/>
          <w:marBottom w:val="0"/>
          <w:divBdr>
            <w:top w:val="none" w:sz="0" w:space="0" w:color="auto"/>
            <w:left w:val="none" w:sz="0" w:space="0" w:color="auto"/>
            <w:bottom w:val="none" w:sz="0" w:space="0" w:color="auto"/>
            <w:right w:val="none" w:sz="0" w:space="0" w:color="auto"/>
          </w:divBdr>
        </w:div>
        <w:div w:id="688528568">
          <w:marLeft w:val="0"/>
          <w:marRight w:val="0"/>
          <w:marTop w:val="0"/>
          <w:marBottom w:val="0"/>
          <w:divBdr>
            <w:top w:val="none" w:sz="0" w:space="0" w:color="auto"/>
            <w:left w:val="none" w:sz="0" w:space="0" w:color="auto"/>
            <w:bottom w:val="none" w:sz="0" w:space="0" w:color="auto"/>
            <w:right w:val="none" w:sz="0" w:space="0" w:color="auto"/>
          </w:divBdr>
        </w:div>
        <w:div w:id="1350335583">
          <w:marLeft w:val="0"/>
          <w:marRight w:val="0"/>
          <w:marTop w:val="0"/>
          <w:marBottom w:val="0"/>
          <w:divBdr>
            <w:top w:val="none" w:sz="0" w:space="0" w:color="auto"/>
            <w:left w:val="none" w:sz="0" w:space="0" w:color="auto"/>
            <w:bottom w:val="none" w:sz="0" w:space="0" w:color="auto"/>
            <w:right w:val="none" w:sz="0" w:space="0" w:color="auto"/>
          </w:divBdr>
          <w:divsChild>
            <w:div w:id="1563057721">
              <w:marLeft w:val="0"/>
              <w:marRight w:val="0"/>
              <w:marTop w:val="0"/>
              <w:marBottom w:val="0"/>
              <w:divBdr>
                <w:top w:val="none" w:sz="0" w:space="0" w:color="auto"/>
                <w:left w:val="none" w:sz="0" w:space="0" w:color="auto"/>
                <w:bottom w:val="none" w:sz="0" w:space="0" w:color="auto"/>
                <w:right w:val="none" w:sz="0" w:space="0" w:color="auto"/>
              </w:divBdr>
              <w:divsChild>
                <w:div w:id="163479652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60856177">
                      <w:marLeft w:val="0"/>
                      <w:marRight w:val="0"/>
                      <w:marTop w:val="0"/>
                      <w:marBottom w:val="0"/>
                      <w:divBdr>
                        <w:top w:val="none" w:sz="0" w:space="0" w:color="auto"/>
                        <w:left w:val="none" w:sz="0" w:space="0" w:color="auto"/>
                        <w:bottom w:val="none" w:sz="0" w:space="0" w:color="auto"/>
                        <w:right w:val="none" w:sz="0" w:space="0" w:color="auto"/>
                      </w:divBdr>
                    </w:div>
                    <w:div w:id="2059015098">
                      <w:marLeft w:val="0"/>
                      <w:marRight w:val="0"/>
                      <w:marTop w:val="0"/>
                      <w:marBottom w:val="0"/>
                      <w:divBdr>
                        <w:top w:val="none" w:sz="0" w:space="0" w:color="auto"/>
                        <w:left w:val="none" w:sz="0" w:space="0" w:color="auto"/>
                        <w:bottom w:val="none" w:sz="0" w:space="0" w:color="auto"/>
                        <w:right w:val="none" w:sz="0" w:space="0" w:color="auto"/>
                      </w:divBdr>
                    </w:div>
                    <w:div w:id="1186483461">
                      <w:marLeft w:val="0"/>
                      <w:marRight w:val="0"/>
                      <w:marTop w:val="0"/>
                      <w:marBottom w:val="0"/>
                      <w:divBdr>
                        <w:top w:val="none" w:sz="0" w:space="0" w:color="auto"/>
                        <w:left w:val="none" w:sz="0" w:space="0" w:color="auto"/>
                        <w:bottom w:val="none" w:sz="0" w:space="0" w:color="auto"/>
                        <w:right w:val="none" w:sz="0" w:space="0" w:color="auto"/>
                      </w:divBdr>
                    </w:div>
                    <w:div w:id="1781800021">
                      <w:marLeft w:val="0"/>
                      <w:marRight w:val="0"/>
                      <w:marTop w:val="0"/>
                      <w:marBottom w:val="0"/>
                      <w:divBdr>
                        <w:top w:val="none" w:sz="0" w:space="0" w:color="auto"/>
                        <w:left w:val="none" w:sz="0" w:space="0" w:color="auto"/>
                        <w:bottom w:val="none" w:sz="0" w:space="0" w:color="auto"/>
                        <w:right w:val="none" w:sz="0" w:space="0" w:color="auto"/>
                      </w:divBdr>
                    </w:div>
                    <w:div w:id="75321532">
                      <w:marLeft w:val="0"/>
                      <w:marRight w:val="0"/>
                      <w:marTop w:val="0"/>
                      <w:marBottom w:val="0"/>
                      <w:divBdr>
                        <w:top w:val="none" w:sz="0" w:space="0" w:color="auto"/>
                        <w:left w:val="none" w:sz="0" w:space="0" w:color="auto"/>
                        <w:bottom w:val="none" w:sz="0" w:space="0" w:color="auto"/>
                        <w:right w:val="none" w:sz="0" w:space="0" w:color="auto"/>
                      </w:divBdr>
                    </w:div>
                  </w:divsChild>
                </w:div>
                <w:div w:id="98642760">
                  <w:marLeft w:val="0"/>
                  <w:marRight w:val="0"/>
                  <w:marTop w:val="0"/>
                  <w:marBottom w:val="0"/>
                  <w:divBdr>
                    <w:top w:val="none" w:sz="0" w:space="0" w:color="auto"/>
                    <w:left w:val="none" w:sz="0" w:space="0" w:color="auto"/>
                    <w:bottom w:val="none" w:sz="0" w:space="0" w:color="auto"/>
                    <w:right w:val="none" w:sz="0" w:space="0" w:color="auto"/>
                  </w:divBdr>
                </w:div>
                <w:div w:id="1120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59790">
      <w:bodyDiv w:val="1"/>
      <w:marLeft w:val="0"/>
      <w:marRight w:val="0"/>
      <w:marTop w:val="0"/>
      <w:marBottom w:val="0"/>
      <w:divBdr>
        <w:top w:val="none" w:sz="0" w:space="0" w:color="auto"/>
        <w:left w:val="none" w:sz="0" w:space="0" w:color="auto"/>
        <w:bottom w:val="none" w:sz="0" w:space="0" w:color="auto"/>
        <w:right w:val="none" w:sz="0" w:space="0" w:color="auto"/>
      </w:divBdr>
    </w:div>
    <w:div w:id="337194657">
      <w:bodyDiv w:val="1"/>
      <w:marLeft w:val="0"/>
      <w:marRight w:val="0"/>
      <w:marTop w:val="0"/>
      <w:marBottom w:val="0"/>
      <w:divBdr>
        <w:top w:val="none" w:sz="0" w:space="0" w:color="auto"/>
        <w:left w:val="none" w:sz="0" w:space="0" w:color="auto"/>
        <w:bottom w:val="none" w:sz="0" w:space="0" w:color="auto"/>
        <w:right w:val="none" w:sz="0" w:space="0" w:color="auto"/>
      </w:divBdr>
    </w:div>
    <w:div w:id="405344439">
      <w:bodyDiv w:val="1"/>
      <w:marLeft w:val="0"/>
      <w:marRight w:val="0"/>
      <w:marTop w:val="0"/>
      <w:marBottom w:val="0"/>
      <w:divBdr>
        <w:top w:val="none" w:sz="0" w:space="0" w:color="auto"/>
        <w:left w:val="none" w:sz="0" w:space="0" w:color="auto"/>
        <w:bottom w:val="none" w:sz="0" w:space="0" w:color="auto"/>
        <w:right w:val="none" w:sz="0" w:space="0" w:color="auto"/>
      </w:divBdr>
    </w:div>
    <w:div w:id="545338230">
      <w:bodyDiv w:val="1"/>
      <w:marLeft w:val="0"/>
      <w:marRight w:val="0"/>
      <w:marTop w:val="0"/>
      <w:marBottom w:val="0"/>
      <w:divBdr>
        <w:top w:val="none" w:sz="0" w:space="0" w:color="auto"/>
        <w:left w:val="none" w:sz="0" w:space="0" w:color="auto"/>
        <w:bottom w:val="none" w:sz="0" w:space="0" w:color="auto"/>
        <w:right w:val="none" w:sz="0" w:space="0" w:color="auto"/>
      </w:divBdr>
    </w:div>
    <w:div w:id="663051881">
      <w:bodyDiv w:val="1"/>
      <w:marLeft w:val="0"/>
      <w:marRight w:val="0"/>
      <w:marTop w:val="0"/>
      <w:marBottom w:val="0"/>
      <w:divBdr>
        <w:top w:val="none" w:sz="0" w:space="0" w:color="auto"/>
        <w:left w:val="none" w:sz="0" w:space="0" w:color="auto"/>
        <w:bottom w:val="none" w:sz="0" w:space="0" w:color="auto"/>
        <w:right w:val="none" w:sz="0" w:space="0" w:color="auto"/>
      </w:divBdr>
    </w:div>
    <w:div w:id="673075498">
      <w:bodyDiv w:val="1"/>
      <w:marLeft w:val="0"/>
      <w:marRight w:val="0"/>
      <w:marTop w:val="0"/>
      <w:marBottom w:val="0"/>
      <w:divBdr>
        <w:top w:val="none" w:sz="0" w:space="0" w:color="auto"/>
        <w:left w:val="none" w:sz="0" w:space="0" w:color="auto"/>
        <w:bottom w:val="none" w:sz="0" w:space="0" w:color="auto"/>
        <w:right w:val="none" w:sz="0" w:space="0" w:color="auto"/>
      </w:divBdr>
    </w:div>
    <w:div w:id="1056272193">
      <w:bodyDiv w:val="1"/>
      <w:marLeft w:val="0"/>
      <w:marRight w:val="0"/>
      <w:marTop w:val="0"/>
      <w:marBottom w:val="0"/>
      <w:divBdr>
        <w:top w:val="none" w:sz="0" w:space="0" w:color="auto"/>
        <w:left w:val="none" w:sz="0" w:space="0" w:color="auto"/>
        <w:bottom w:val="none" w:sz="0" w:space="0" w:color="auto"/>
        <w:right w:val="none" w:sz="0" w:space="0" w:color="auto"/>
      </w:divBdr>
      <w:divsChild>
        <w:div w:id="201864372">
          <w:marLeft w:val="0"/>
          <w:marRight w:val="0"/>
          <w:marTop w:val="0"/>
          <w:marBottom w:val="0"/>
          <w:divBdr>
            <w:top w:val="none" w:sz="0" w:space="0" w:color="auto"/>
            <w:left w:val="none" w:sz="0" w:space="0" w:color="auto"/>
            <w:bottom w:val="none" w:sz="0" w:space="0" w:color="auto"/>
            <w:right w:val="none" w:sz="0" w:space="0" w:color="auto"/>
          </w:divBdr>
        </w:div>
        <w:div w:id="2005738730">
          <w:marLeft w:val="0"/>
          <w:marRight w:val="0"/>
          <w:marTop w:val="0"/>
          <w:marBottom w:val="0"/>
          <w:divBdr>
            <w:top w:val="none" w:sz="0" w:space="0" w:color="auto"/>
            <w:left w:val="none" w:sz="0" w:space="0" w:color="auto"/>
            <w:bottom w:val="none" w:sz="0" w:space="0" w:color="auto"/>
            <w:right w:val="none" w:sz="0" w:space="0" w:color="auto"/>
          </w:divBdr>
        </w:div>
        <w:div w:id="728110797">
          <w:marLeft w:val="0"/>
          <w:marRight w:val="0"/>
          <w:marTop w:val="0"/>
          <w:marBottom w:val="0"/>
          <w:divBdr>
            <w:top w:val="none" w:sz="0" w:space="0" w:color="auto"/>
            <w:left w:val="none" w:sz="0" w:space="0" w:color="auto"/>
            <w:bottom w:val="none" w:sz="0" w:space="0" w:color="auto"/>
            <w:right w:val="none" w:sz="0" w:space="0" w:color="auto"/>
          </w:divBdr>
        </w:div>
      </w:divsChild>
    </w:div>
    <w:div w:id="1131749903">
      <w:bodyDiv w:val="1"/>
      <w:marLeft w:val="0"/>
      <w:marRight w:val="0"/>
      <w:marTop w:val="0"/>
      <w:marBottom w:val="0"/>
      <w:divBdr>
        <w:top w:val="none" w:sz="0" w:space="0" w:color="auto"/>
        <w:left w:val="none" w:sz="0" w:space="0" w:color="auto"/>
        <w:bottom w:val="none" w:sz="0" w:space="0" w:color="auto"/>
        <w:right w:val="none" w:sz="0" w:space="0" w:color="auto"/>
      </w:divBdr>
    </w:div>
    <w:div w:id="1162770509">
      <w:bodyDiv w:val="1"/>
      <w:marLeft w:val="0"/>
      <w:marRight w:val="0"/>
      <w:marTop w:val="0"/>
      <w:marBottom w:val="0"/>
      <w:divBdr>
        <w:top w:val="none" w:sz="0" w:space="0" w:color="auto"/>
        <w:left w:val="none" w:sz="0" w:space="0" w:color="auto"/>
        <w:bottom w:val="none" w:sz="0" w:space="0" w:color="auto"/>
        <w:right w:val="none" w:sz="0" w:space="0" w:color="auto"/>
      </w:divBdr>
    </w:div>
    <w:div w:id="1221212966">
      <w:bodyDiv w:val="1"/>
      <w:marLeft w:val="0"/>
      <w:marRight w:val="0"/>
      <w:marTop w:val="0"/>
      <w:marBottom w:val="0"/>
      <w:divBdr>
        <w:top w:val="none" w:sz="0" w:space="0" w:color="auto"/>
        <w:left w:val="none" w:sz="0" w:space="0" w:color="auto"/>
        <w:bottom w:val="none" w:sz="0" w:space="0" w:color="auto"/>
        <w:right w:val="none" w:sz="0" w:space="0" w:color="auto"/>
      </w:divBdr>
      <w:divsChild>
        <w:div w:id="872617570">
          <w:marLeft w:val="562"/>
          <w:marRight w:val="0"/>
          <w:marTop w:val="96"/>
          <w:marBottom w:val="0"/>
          <w:divBdr>
            <w:top w:val="none" w:sz="0" w:space="0" w:color="auto"/>
            <w:left w:val="none" w:sz="0" w:space="0" w:color="auto"/>
            <w:bottom w:val="none" w:sz="0" w:space="0" w:color="auto"/>
            <w:right w:val="none" w:sz="0" w:space="0" w:color="auto"/>
          </w:divBdr>
        </w:div>
      </w:divsChild>
    </w:div>
    <w:div w:id="1414089428">
      <w:bodyDiv w:val="1"/>
      <w:marLeft w:val="0"/>
      <w:marRight w:val="0"/>
      <w:marTop w:val="0"/>
      <w:marBottom w:val="0"/>
      <w:divBdr>
        <w:top w:val="none" w:sz="0" w:space="0" w:color="auto"/>
        <w:left w:val="none" w:sz="0" w:space="0" w:color="auto"/>
        <w:bottom w:val="none" w:sz="0" w:space="0" w:color="auto"/>
        <w:right w:val="none" w:sz="0" w:space="0" w:color="auto"/>
      </w:divBdr>
      <w:divsChild>
        <w:div w:id="815218050">
          <w:marLeft w:val="547"/>
          <w:marRight w:val="0"/>
          <w:marTop w:val="96"/>
          <w:marBottom w:val="0"/>
          <w:divBdr>
            <w:top w:val="none" w:sz="0" w:space="0" w:color="auto"/>
            <w:left w:val="none" w:sz="0" w:space="0" w:color="auto"/>
            <w:bottom w:val="none" w:sz="0" w:space="0" w:color="auto"/>
            <w:right w:val="none" w:sz="0" w:space="0" w:color="auto"/>
          </w:divBdr>
        </w:div>
        <w:div w:id="1129129484">
          <w:marLeft w:val="547"/>
          <w:marRight w:val="0"/>
          <w:marTop w:val="96"/>
          <w:marBottom w:val="0"/>
          <w:divBdr>
            <w:top w:val="none" w:sz="0" w:space="0" w:color="auto"/>
            <w:left w:val="none" w:sz="0" w:space="0" w:color="auto"/>
            <w:bottom w:val="none" w:sz="0" w:space="0" w:color="auto"/>
            <w:right w:val="none" w:sz="0" w:space="0" w:color="auto"/>
          </w:divBdr>
        </w:div>
        <w:div w:id="838928417">
          <w:marLeft w:val="547"/>
          <w:marRight w:val="0"/>
          <w:marTop w:val="96"/>
          <w:marBottom w:val="0"/>
          <w:divBdr>
            <w:top w:val="none" w:sz="0" w:space="0" w:color="auto"/>
            <w:left w:val="none" w:sz="0" w:space="0" w:color="auto"/>
            <w:bottom w:val="none" w:sz="0" w:space="0" w:color="auto"/>
            <w:right w:val="none" w:sz="0" w:space="0" w:color="auto"/>
          </w:divBdr>
        </w:div>
      </w:divsChild>
    </w:div>
    <w:div w:id="1624310074">
      <w:bodyDiv w:val="1"/>
      <w:marLeft w:val="0"/>
      <w:marRight w:val="0"/>
      <w:marTop w:val="0"/>
      <w:marBottom w:val="0"/>
      <w:divBdr>
        <w:top w:val="none" w:sz="0" w:space="0" w:color="auto"/>
        <w:left w:val="none" w:sz="0" w:space="0" w:color="auto"/>
        <w:bottom w:val="none" w:sz="0" w:space="0" w:color="auto"/>
        <w:right w:val="none" w:sz="0" w:space="0" w:color="auto"/>
      </w:divBdr>
    </w:div>
    <w:div w:id="1659309549">
      <w:bodyDiv w:val="1"/>
      <w:marLeft w:val="0"/>
      <w:marRight w:val="0"/>
      <w:marTop w:val="0"/>
      <w:marBottom w:val="0"/>
      <w:divBdr>
        <w:top w:val="none" w:sz="0" w:space="0" w:color="auto"/>
        <w:left w:val="none" w:sz="0" w:space="0" w:color="auto"/>
        <w:bottom w:val="none" w:sz="0" w:space="0" w:color="auto"/>
        <w:right w:val="none" w:sz="0" w:space="0" w:color="auto"/>
      </w:divBdr>
      <w:divsChild>
        <w:div w:id="784349016">
          <w:marLeft w:val="0"/>
          <w:marRight w:val="0"/>
          <w:marTop w:val="0"/>
          <w:marBottom w:val="0"/>
          <w:divBdr>
            <w:top w:val="none" w:sz="0" w:space="0" w:color="auto"/>
            <w:left w:val="none" w:sz="0" w:space="0" w:color="auto"/>
            <w:bottom w:val="none" w:sz="0" w:space="0" w:color="auto"/>
            <w:right w:val="none" w:sz="0" w:space="0" w:color="auto"/>
          </w:divBdr>
        </w:div>
        <w:div w:id="910233794">
          <w:marLeft w:val="0"/>
          <w:marRight w:val="0"/>
          <w:marTop w:val="0"/>
          <w:marBottom w:val="0"/>
          <w:divBdr>
            <w:top w:val="none" w:sz="0" w:space="0" w:color="auto"/>
            <w:left w:val="none" w:sz="0" w:space="0" w:color="auto"/>
            <w:bottom w:val="none" w:sz="0" w:space="0" w:color="auto"/>
            <w:right w:val="none" w:sz="0" w:space="0" w:color="auto"/>
          </w:divBdr>
        </w:div>
      </w:divsChild>
    </w:div>
    <w:div w:id="1752003838">
      <w:bodyDiv w:val="1"/>
      <w:marLeft w:val="0"/>
      <w:marRight w:val="0"/>
      <w:marTop w:val="0"/>
      <w:marBottom w:val="0"/>
      <w:divBdr>
        <w:top w:val="none" w:sz="0" w:space="0" w:color="auto"/>
        <w:left w:val="none" w:sz="0" w:space="0" w:color="auto"/>
        <w:bottom w:val="none" w:sz="0" w:space="0" w:color="auto"/>
        <w:right w:val="none" w:sz="0" w:space="0" w:color="auto"/>
      </w:divBdr>
    </w:div>
    <w:div w:id="1784105522">
      <w:bodyDiv w:val="1"/>
      <w:marLeft w:val="0"/>
      <w:marRight w:val="0"/>
      <w:marTop w:val="0"/>
      <w:marBottom w:val="0"/>
      <w:divBdr>
        <w:top w:val="none" w:sz="0" w:space="0" w:color="auto"/>
        <w:left w:val="none" w:sz="0" w:space="0" w:color="auto"/>
        <w:bottom w:val="none" w:sz="0" w:space="0" w:color="auto"/>
        <w:right w:val="none" w:sz="0" w:space="0" w:color="auto"/>
      </w:divBdr>
    </w:div>
    <w:div w:id="1865434152">
      <w:bodyDiv w:val="1"/>
      <w:marLeft w:val="0"/>
      <w:marRight w:val="0"/>
      <w:marTop w:val="0"/>
      <w:marBottom w:val="0"/>
      <w:divBdr>
        <w:top w:val="none" w:sz="0" w:space="0" w:color="auto"/>
        <w:left w:val="none" w:sz="0" w:space="0" w:color="auto"/>
        <w:bottom w:val="none" w:sz="0" w:space="0" w:color="auto"/>
        <w:right w:val="none" w:sz="0" w:space="0" w:color="auto"/>
      </w:divBdr>
    </w:div>
    <w:div w:id="1969627492">
      <w:bodyDiv w:val="1"/>
      <w:marLeft w:val="0"/>
      <w:marRight w:val="0"/>
      <w:marTop w:val="0"/>
      <w:marBottom w:val="0"/>
      <w:divBdr>
        <w:top w:val="none" w:sz="0" w:space="0" w:color="auto"/>
        <w:left w:val="none" w:sz="0" w:space="0" w:color="auto"/>
        <w:bottom w:val="none" w:sz="0" w:space="0" w:color="auto"/>
        <w:right w:val="none" w:sz="0" w:space="0" w:color="auto"/>
      </w:divBdr>
    </w:div>
    <w:div w:id="1984843075">
      <w:bodyDiv w:val="1"/>
      <w:marLeft w:val="0"/>
      <w:marRight w:val="0"/>
      <w:marTop w:val="0"/>
      <w:marBottom w:val="0"/>
      <w:divBdr>
        <w:top w:val="none" w:sz="0" w:space="0" w:color="auto"/>
        <w:left w:val="none" w:sz="0" w:space="0" w:color="auto"/>
        <w:bottom w:val="none" w:sz="0" w:space="0" w:color="auto"/>
        <w:right w:val="none" w:sz="0" w:space="0" w:color="auto"/>
      </w:divBdr>
    </w:div>
    <w:div w:id="2045979710">
      <w:bodyDiv w:val="1"/>
      <w:marLeft w:val="0"/>
      <w:marRight w:val="0"/>
      <w:marTop w:val="0"/>
      <w:marBottom w:val="0"/>
      <w:divBdr>
        <w:top w:val="none" w:sz="0" w:space="0" w:color="auto"/>
        <w:left w:val="none" w:sz="0" w:space="0" w:color="auto"/>
        <w:bottom w:val="none" w:sz="0" w:space="0" w:color="auto"/>
        <w:right w:val="none" w:sz="0" w:space="0" w:color="auto"/>
      </w:divBdr>
      <w:divsChild>
        <w:div w:id="1469976450">
          <w:marLeft w:val="562"/>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2484</Words>
  <Characters>14162</Characters>
  <Application>Microsoft Macintosh Word</Application>
  <DocSecurity>0</DocSecurity>
  <Lines>118</Lines>
  <Paragraphs>33</Paragraphs>
  <ScaleCrop>false</ScaleCrop>
  <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Lloyd</dc:creator>
  <cp:keywords/>
  <dc:description/>
  <cp:lastModifiedBy>John Lloyd</cp:lastModifiedBy>
  <cp:revision>17</cp:revision>
  <dcterms:created xsi:type="dcterms:W3CDTF">2022-09-27T14:41:00Z</dcterms:created>
  <dcterms:modified xsi:type="dcterms:W3CDTF">2022-10-01T05:13:00Z</dcterms:modified>
</cp:coreProperties>
</file>